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6F6F6"/>
  <w:body>
    <w:p w:rsidR="00000000" w:rsidDel="00000000" w:rsidP="00000000" w:rsidRDefault="00000000" w:rsidRPr="00000000" w14:paraId="00000001">
      <w:pPr>
        <w:pStyle w:val="Heading2"/>
        <w:keepNext w:val="1"/>
        <w:keepLines w:val="1"/>
        <w:shd w:fill="auto" w:val="clear"/>
        <w:spacing w:before="0" w:line="259" w:lineRule="auto"/>
        <w:ind w:left="0" w:firstLine="0"/>
        <w:jc w:val="left"/>
        <w:rPr>
          <w:rFonts w:ascii="Montserrat Medium" w:cs="Montserrat Medium" w:eastAsia="Montserrat Medium" w:hAnsi="Montserrat Medium"/>
          <w:sz w:val="26"/>
          <w:szCs w:val="26"/>
        </w:rPr>
      </w:pPr>
      <w:r w:rsidDel="00000000" w:rsidR="00000000" w:rsidRPr="00000000">
        <w:rPr>
          <w:rtl w:val="0"/>
        </w:rPr>
      </w:r>
    </w:p>
    <w:p w:rsidR="00000000" w:rsidDel="00000000" w:rsidP="00000000" w:rsidRDefault="00000000" w:rsidRPr="00000000" w14:paraId="00000002">
      <w:pPr>
        <w:pStyle w:val="Subtitle"/>
        <w:rPr>
          <w:rFonts w:ascii="Montserrat Medium" w:cs="Montserrat Medium" w:eastAsia="Montserrat Medium" w:hAnsi="Montserrat Medium"/>
          <w:sz w:val="26"/>
          <w:szCs w:val="26"/>
        </w:rPr>
      </w:pPr>
      <w:bookmarkStart w:colFirst="0" w:colLast="0" w:name="_heading=h.4anf57mz27g" w:id="0"/>
      <w:bookmarkEnd w:id="0"/>
      <w:r w:rsidDel="00000000" w:rsidR="00000000" w:rsidRPr="00000000">
        <w:rPr>
          <w:rtl w:val="0"/>
        </w:rPr>
        <w:t xml:space="preserve">DOCUMENT</w:t>
      </w:r>
      <w:r w:rsidDel="00000000" w:rsidR="00000000" w:rsidRPr="00000000">
        <w:rPr>
          <w:rtl w:val="0"/>
        </w:rPr>
        <w:t xml:space="preserve"> II – Type of organization Declarations</w:t>
      </w:r>
      <w:r w:rsidDel="00000000" w:rsidR="00000000" w:rsidRPr="00000000">
        <w:rPr>
          <w:rtl w:val="0"/>
        </w:rPr>
      </w:r>
    </w:p>
    <w:p w:rsidR="00000000" w:rsidDel="00000000" w:rsidP="00000000" w:rsidRDefault="00000000" w:rsidRPr="00000000" w14:paraId="00000003">
      <w:pPr>
        <w:spacing w:after="16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04">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Specific identification of the applicant enterprise:</w:t>
      </w:r>
    </w:p>
    <w:p w:rsidR="00000000" w:rsidDel="00000000" w:rsidP="00000000" w:rsidRDefault="00000000" w:rsidRPr="00000000" w14:paraId="00000005">
      <w:pPr>
        <w:spacing w:after="0" w:line="259" w:lineRule="auto"/>
        <w:jc w:val="left"/>
        <w:rPr>
          <w:rFonts w:ascii="Montserrat Medium" w:cs="Montserrat Medium" w:eastAsia="Montserrat Medium" w:hAnsi="Montserrat Medium"/>
          <w:b w:val="1"/>
          <w:sz w:val="22"/>
          <w:szCs w:val="22"/>
        </w:rPr>
      </w:pPr>
      <w:r w:rsidDel="00000000" w:rsidR="00000000" w:rsidRPr="00000000">
        <w:rPr>
          <w:rtl w:val="0"/>
        </w:rPr>
      </w:r>
    </w:p>
    <w:tbl>
      <w:tblPr>
        <w:tblStyle w:val="Table1"/>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3784"/>
        <w:gridCol w:w="5288"/>
        <w:tblGridChange w:id="0">
          <w:tblGrid>
            <w:gridCol w:w="3784"/>
            <w:gridCol w:w="5288"/>
          </w:tblGrid>
        </w:tblGridChange>
      </w:tblGrid>
      <w:tr>
        <w:trPr>
          <w:cantSplit w:val="0"/>
          <w:tblHeader w:val="0"/>
        </w:trPr>
        <w:tc>
          <w:tcPr>
            <w:tcBorders>
              <w:right w:color="6e7c95" w:space="0" w:sz="4" w:val="single"/>
            </w:tcBorders>
            <w:shd w:fill="008f4a" w:val="clear"/>
          </w:tcPr>
          <w:p w:rsidR="00000000" w:rsidDel="00000000" w:rsidP="00000000" w:rsidRDefault="00000000" w:rsidRPr="00000000" w14:paraId="00000006">
            <w:pPr>
              <w:widowControl w:val="0"/>
              <w:spacing w:after="40" w:before="40" w:line="240" w:lineRule="auto"/>
              <w:jc w:val="left"/>
              <w:rPr>
                <w:rFonts w:ascii="Montserrat Medium" w:cs="Montserrat Medium" w:eastAsia="Montserrat Medium" w:hAnsi="Montserrat Medium"/>
                <w:b w:val="1"/>
                <w:color w:val="f6f6f6"/>
              </w:rPr>
            </w:pPr>
            <w:r w:rsidDel="00000000" w:rsidR="00000000" w:rsidRPr="00000000">
              <w:rPr>
                <w:rFonts w:ascii="Montserrat Medium" w:cs="Montserrat Medium" w:eastAsia="Montserrat Medium" w:hAnsi="Montserrat Medium"/>
                <w:b w:val="1"/>
                <w:color w:val="f6f6f6"/>
                <w:rtl w:val="0"/>
              </w:rPr>
              <w:t xml:space="preserve">Name or Business Name</w:t>
            </w:r>
          </w:p>
        </w:tc>
        <w:tc>
          <w:tcPr>
            <w:tcBorders>
              <w:left w:color="6e7c95" w:space="0" w:sz="4" w:val="single"/>
            </w:tcBorders>
            <w:shd w:fill="008f4a" w:val="clear"/>
          </w:tcPr>
          <w:p w:rsidR="00000000" w:rsidDel="00000000" w:rsidP="00000000" w:rsidRDefault="00000000" w:rsidRPr="00000000" w14:paraId="00000007">
            <w:pPr>
              <w:widowControl w:val="0"/>
              <w:spacing w:after="40" w:before="40" w:line="240" w:lineRule="auto"/>
              <w:jc w:val="left"/>
              <w:rPr>
                <w:rFonts w:ascii="Montserrat Medium" w:cs="Montserrat Medium" w:eastAsia="Montserrat Medium" w:hAnsi="Montserrat Medium"/>
                <w:b w:val="0"/>
              </w:rPr>
            </w:pPr>
            <w:r w:rsidDel="00000000" w:rsidR="00000000" w:rsidRPr="00000000">
              <w:rPr>
                <w:rFonts w:ascii="Montserrat Medium" w:cs="Montserrat Medium" w:eastAsia="Montserrat Medium" w:hAnsi="Montserrat Medium"/>
                <w:rtl w:val="0"/>
              </w:rPr>
              <w:t xml:space="preserve">______________________________________________</w:t>
            </w:r>
            <w:r w:rsidDel="00000000" w:rsidR="00000000" w:rsidRPr="00000000">
              <w:rPr>
                <w:rtl w:val="0"/>
              </w:rPr>
            </w:r>
          </w:p>
        </w:tc>
      </w:tr>
      <w:tr>
        <w:trPr>
          <w:cantSplit w:val="0"/>
          <w:tblHeader w:val="0"/>
        </w:trPr>
        <w:tc>
          <w:tcPr>
            <w:tcBorders>
              <w:right w:color="6e7c95" w:space="0" w:sz="4" w:val="single"/>
            </w:tcBorders>
          </w:tcPr>
          <w:p w:rsidR="00000000" w:rsidDel="00000000" w:rsidP="00000000" w:rsidRDefault="00000000" w:rsidRPr="00000000" w14:paraId="00000008">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Address (or Registered office)</w:t>
            </w:r>
          </w:p>
        </w:tc>
        <w:tc>
          <w:tcPr>
            <w:tcBorders>
              <w:left w:color="6e7c95" w:space="0" w:sz="4" w:val="single"/>
            </w:tcBorders>
          </w:tcPr>
          <w:p w:rsidR="00000000" w:rsidDel="00000000" w:rsidP="00000000" w:rsidRDefault="00000000" w:rsidRPr="00000000" w14:paraId="00000009">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00A">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Registration/ VAT number</w:t>
            </w:r>
          </w:p>
        </w:tc>
        <w:tc>
          <w:tcPr>
            <w:tcBorders>
              <w:left w:color="6e7c95" w:space="0" w:sz="4" w:val="single"/>
            </w:tcBorders>
          </w:tcPr>
          <w:p w:rsidR="00000000" w:rsidDel="00000000" w:rsidP="00000000" w:rsidRDefault="00000000" w:rsidRPr="00000000" w14:paraId="0000000B">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00C">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Names and titles of principal directors</w:t>
            </w:r>
          </w:p>
        </w:tc>
        <w:tc>
          <w:tcPr>
            <w:tcBorders>
              <w:left w:color="6e7c95" w:space="0" w:sz="4" w:val="single"/>
            </w:tcBorders>
            <w:vAlign w:val="bottom"/>
          </w:tcPr>
          <w:p w:rsidR="00000000" w:rsidDel="00000000" w:rsidP="00000000" w:rsidRDefault="00000000" w:rsidRPr="00000000" w14:paraId="0000000D">
            <w:pPr>
              <w:widowControl w:val="0"/>
              <w:spacing w:after="40" w:before="40" w:line="240"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______________________________________________</w:t>
            </w:r>
          </w:p>
        </w:tc>
      </w:tr>
    </w:tbl>
    <w:p w:rsidR="00000000" w:rsidDel="00000000" w:rsidP="00000000" w:rsidRDefault="00000000" w:rsidRPr="00000000" w14:paraId="0000000E">
      <w:pPr>
        <w:spacing w:after="0" w:line="259" w:lineRule="auto"/>
        <w:jc w:val="left"/>
        <w:rPr>
          <w:rFonts w:ascii="Montserrat Medium" w:cs="Montserrat Medium" w:eastAsia="Montserrat Medium" w:hAnsi="Montserrat Medium"/>
          <w:b w:val="1"/>
          <w:sz w:val="22"/>
          <w:szCs w:val="22"/>
        </w:rPr>
      </w:pPr>
      <w:r w:rsidDel="00000000" w:rsidR="00000000" w:rsidRPr="00000000">
        <w:rPr>
          <w:rtl w:val="0"/>
        </w:rPr>
      </w:r>
    </w:p>
    <w:p w:rsidR="00000000" w:rsidDel="00000000" w:rsidP="00000000" w:rsidRDefault="00000000" w:rsidRPr="00000000" w14:paraId="0000000F">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Type of enterprise</w:t>
      </w:r>
      <w:r w:rsidDel="00000000" w:rsidR="00000000" w:rsidRPr="00000000">
        <w:rPr>
          <w:rFonts w:ascii="Montserrat Medium" w:cs="Montserrat Medium" w:eastAsia="Montserrat Medium" w:hAnsi="Montserrat Medium"/>
          <w:sz w:val="22"/>
          <w:szCs w:val="22"/>
          <w:rtl w:val="0"/>
        </w:rPr>
        <w:t xml:space="preserve"> (see explanatory note)</w:t>
      </w:r>
    </w:p>
    <w:p w:rsidR="00000000" w:rsidDel="00000000" w:rsidP="00000000" w:rsidRDefault="00000000" w:rsidRPr="00000000" w14:paraId="00000010">
      <w:pPr>
        <w:spacing w:after="0" w:line="259" w:lineRule="auto"/>
        <w:jc w:val="left"/>
        <w:rPr>
          <w:rFonts w:ascii="Montserrat Medium" w:cs="Montserrat Medium" w:eastAsia="Montserrat Medium" w:hAnsi="Montserrat Medium"/>
          <w:i w:val="1"/>
          <w:sz w:val="22"/>
          <w:szCs w:val="22"/>
        </w:rPr>
      </w:pPr>
      <w:r w:rsidDel="00000000" w:rsidR="00000000" w:rsidRPr="00000000">
        <w:rPr>
          <w:rFonts w:ascii="Montserrat Medium" w:cs="Montserrat Medium" w:eastAsia="Montserrat Medium" w:hAnsi="Montserrat Medium"/>
          <w:i w:val="1"/>
          <w:sz w:val="22"/>
          <w:szCs w:val="22"/>
          <w:rtl w:val="0"/>
        </w:rPr>
        <w:t xml:space="preserve">Select to indicate which case(s) applies to the applicant enterprise:</w:t>
      </w:r>
    </w:p>
    <w:tbl>
      <w:tblPr>
        <w:tblStyle w:val="Table2"/>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479"/>
        <w:gridCol w:w="2353"/>
        <w:gridCol w:w="6240"/>
        <w:tblGridChange w:id="0">
          <w:tblGrid>
            <w:gridCol w:w="479"/>
            <w:gridCol w:w="2353"/>
            <w:gridCol w:w="6240"/>
          </w:tblGrid>
        </w:tblGridChange>
      </w:tblGrid>
      <w:tr>
        <w:trPr>
          <w:cantSplit w:val="0"/>
          <w:trHeight w:val="918" w:hRule="atLeast"/>
          <w:tblHeader w:val="0"/>
        </w:trPr>
        <w:tc>
          <w:tcPr>
            <w:tcBorders>
              <w:top w:color="000000" w:space="0" w:sz="0" w:val="nil"/>
              <w:bottom w:color="000000" w:space="0" w:sz="0" w:val="nil"/>
              <w:right w:color="6e7c95" w:space="0" w:sz="4" w:val="single"/>
            </w:tcBorders>
            <w:shd w:fill="008f4a" w:val="clear"/>
            <w:vAlign w:val="center"/>
          </w:tcPr>
          <w:p w:rsidR="00000000" w:rsidDel="00000000" w:rsidP="00000000" w:rsidRDefault="00000000" w:rsidRPr="00000000" w14:paraId="00000011">
            <w:pPr>
              <w:widowControl w:val="0"/>
              <w:spacing w:after="0" w:line="259" w:lineRule="auto"/>
              <w:ind w:left="22"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Pr>
              <w:drawing>
                <wp:inline distB="0" distT="0" distL="0" distR="0">
                  <wp:extent cx="153670" cy="135890"/>
                  <wp:effectExtent b="0" l="0" r="0" t="0"/>
                  <wp:docPr id="114648660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rtl w:val="0"/>
              </w:rPr>
            </w:r>
          </w:p>
        </w:tc>
        <w:tc>
          <w:tcPr>
            <w:tcBorders>
              <w:top w:color="000000" w:space="0" w:sz="0" w:val="nil"/>
              <w:left w:color="6e7c95" w:space="0" w:sz="4" w:val="single"/>
              <w:bottom w:color="000000" w:space="0" w:sz="0" w:val="nil"/>
              <w:right w:color="6e7c95" w:space="0" w:sz="4" w:val="single"/>
            </w:tcBorders>
            <w:shd w:fill="008f4a" w:val="clear"/>
            <w:vAlign w:val="center"/>
          </w:tcPr>
          <w:p w:rsidR="00000000" w:rsidDel="00000000" w:rsidP="00000000" w:rsidRDefault="00000000" w:rsidRPr="00000000" w14:paraId="00000012">
            <w:pPr>
              <w:widowControl w:val="0"/>
              <w:spacing w:after="0" w:line="259"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color w:val="f6f6f6"/>
                <w:rtl w:val="0"/>
              </w:rPr>
              <w:t xml:space="preserve">Autonomous enterprise</w:t>
            </w:r>
          </w:p>
        </w:tc>
        <w:tc>
          <w:tcPr>
            <w:tcBorders>
              <w:top w:color="000000" w:space="0" w:sz="0" w:val="nil"/>
              <w:left w:color="6e7c95" w:space="0" w:sz="4" w:val="single"/>
              <w:bottom w:color="000000" w:space="0" w:sz="0" w:val="nil"/>
            </w:tcBorders>
            <w:shd w:fill="008f4a" w:val="clear"/>
            <w:vAlign w:val="center"/>
          </w:tcPr>
          <w:p w:rsidR="00000000" w:rsidDel="00000000" w:rsidP="00000000" w:rsidRDefault="00000000" w:rsidRPr="00000000" w14:paraId="00000013">
            <w:pPr>
              <w:widowControl w:val="0"/>
              <w:spacing w:after="0" w:line="259"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color w:val="f6f6f6"/>
                <w:rtl w:val="0"/>
              </w:rPr>
              <w:t xml:space="preserve">In this case the data filled in the box below result from the accounts of the applicant enterprise only. Fill in the declaration only, without annex.</w:t>
            </w:r>
          </w:p>
        </w:tc>
      </w:tr>
      <w:tr>
        <w:trPr>
          <w:cantSplit w:val="0"/>
          <w:trHeight w:val="411" w:hRule="atLeast"/>
          <w:tblHeader w:val="0"/>
        </w:trPr>
        <w:tc>
          <w:tcPr>
            <w:tcBorders>
              <w:top w:color="000000" w:space="0" w:sz="0" w:val="nil"/>
              <w:bottom w:color="000000" w:space="0" w:sz="0" w:val="nil"/>
              <w:right w:color="6e7c95" w:space="0" w:sz="4" w:val="single"/>
            </w:tcBorders>
            <w:vAlign w:val="center"/>
          </w:tcPr>
          <w:p w:rsidR="00000000" w:rsidDel="00000000" w:rsidP="00000000" w:rsidRDefault="00000000" w:rsidRPr="00000000" w14:paraId="00000014">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Pr>
              <w:drawing>
                <wp:inline distB="0" distT="0" distL="0" distR="0">
                  <wp:extent cx="153670" cy="135890"/>
                  <wp:effectExtent b="0" l="0" r="0" t="0"/>
                  <wp:docPr id="114648659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rtl w:val="0"/>
              </w:rPr>
            </w:r>
          </w:p>
        </w:tc>
        <w:tc>
          <w:tcPr>
            <w:tcBorders>
              <w:top w:color="000000" w:space="0" w:sz="0" w:val="nil"/>
              <w:left w:color="6e7c95" w:space="0" w:sz="4" w:val="single"/>
              <w:bottom w:color="000000" w:space="0" w:sz="0" w:val="nil"/>
              <w:right w:color="6e7c95" w:space="0" w:sz="4" w:val="single"/>
            </w:tcBorders>
            <w:vAlign w:val="center"/>
          </w:tcPr>
          <w:p w:rsidR="00000000" w:rsidDel="00000000" w:rsidP="00000000" w:rsidRDefault="00000000" w:rsidRPr="00000000" w14:paraId="00000015">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Partner enterprise</w:t>
            </w:r>
          </w:p>
        </w:tc>
        <w:tc>
          <w:tcPr>
            <w:vMerge w:val="restart"/>
            <w:tcBorders>
              <w:top w:color="000000" w:space="0" w:sz="0" w:val="nil"/>
              <w:left w:color="6e7c95" w:space="0" w:sz="4" w:val="single"/>
              <w:bottom w:color="000000" w:space="0" w:sz="0" w:val="nil"/>
            </w:tcBorders>
            <w:vAlign w:val="center"/>
          </w:tcPr>
          <w:p w:rsidR="00000000" w:rsidDel="00000000" w:rsidP="00000000" w:rsidRDefault="00000000" w:rsidRPr="00000000" w14:paraId="00000016">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Fill in and attach the annex (and any additional sheets), then complete the declaration by copying the results of the calculations into the box below.</w:t>
            </w:r>
          </w:p>
        </w:tc>
      </w:tr>
      <w:tr>
        <w:trPr>
          <w:cantSplit w:val="0"/>
          <w:trHeight w:val="416" w:hRule="atLeast"/>
          <w:tblHeader w:val="0"/>
        </w:trPr>
        <w:tc>
          <w:tcPr>
            <w:tcBorders>
              <w:top w:color="000000" w:space="0" w:sz="0" w:val="nil"/>
              <w:bottom w:color="000000" w:space="0" w:sz="0" w:val="nil"/>
              <w:right w:color="6e7c95" w:space="0" w:sz="4" w:val="single"/>
            </w:tcBorders>
            <w:vAlign w:val="center"/>
          </w:tcPr>
          <w:p w:rsidR="00000000" w:rsidDel="00000000" w:rsidP="00000000" w:rsidRDefault="00000000" w:rsidRPr="00000000" w14:paraId="00000017">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Pr>
              <w:drawing>
                <wp:inline distB="0" distT="0" distL="0" distR="0">
                  <wp:extent cx="153670" cy="135890"/>
                  <wp:effectExtent b="0" l="0" r="0" t="0"/>
                  <wp:docPr id="1146486600"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rtl w:val="0"/>
              </w:rPr>
            </w:r>
          </w:p>
        </w:tc>
        <w:tc>
          <w:tcPr>
            <w:tcBorders>
              <w:top w:color="000000" w:space="0" w:sz="0" w:val="nil"/>
              <w:left w:color="6e7c95" w:space="0" w:sz="4" w:val="single"/>
              <w:bottom w:color="000000" w:space="0" w:sz="0" w:val="nil"/>
              <w:right w:color="6e7c95" w:space="0" w:sz="4" w:val="single"/>
            </w:tcBorders>
            <w:vAlign w:val="center"/>
          </w:tcPr>
          <w:p w:rsidR="00000000" w:rsidDel="00000000" w:rsidP="00000000" w:rsidRDefault="00000000" w:rsidRPr="00000000" w14:paraId="00000018">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Linked enterprise</w:t>
            </w:r>
          </w:p>
        </w:tc>
        <w:tc>
          <w:tcPr>
            <w:vMerge w:val="continue"/>
            <w:tcBorders>
              <w:top w:color="000000" w:space="0" w:sz="0" w:val="nil"/>
              <w:left w:color="6e7c95" w:space="0" w:sz="4" w:val="single"/>
              <w:bottom w:color="000000" w:space="0" w:sz="0" w:val="nil"/>
            </w:tcBorders>
            <w:vAlign w:val="center"/>
          </w:tcPr>
          <w:p w:rsidR="00000000" w:rsidDel="00000000" w:rsidP="00000000" w:rsidRDefault="00000000" w:rsidRPr="00000000" w14:paraId="00000019">
            <w:pPr>
              <w:widowControl w:val="0"/>
              <w:spacing w:after="0" w:line="276" w:lineRule="auto"/>
              <w:jc w:val="left"/>
              <w:rPr>
                <w:rFonts w:ascii="Montserrat Medium" w:cs="Montserrat Medium" w:eastAsia="Montserrat Medium" w:hAnsi="Montserrat Medium"/>
                <w:sz w:val="22"/>
                <w:szCs w:val="22"/>
              </w:rPr>
            </w:pPr>
            <w:r w:rsidDel="00000000" w:rsidR="00000000" w:rsidRPr="00000000">
              <w:rPr>
                <w:rtl w:val="0"/>
              </w:rPr>
            </w:r>
          </w:p>
        </w:tc>
      </w:tr>
    </w:tbl>
    <w:p w:rsidR="00000000" w:rsidDel="00000000" w:rsidP="00000000" w:rsidRDefault="00000000" w:rsidRPr="00000000" w14:paraId="0000001A">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1B">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Data used to determine the category of enterprise</w:t>
      </w:r>
    </w:p>
    <w:p w:rsidR="00000000" w:rsidDel="00000000" w:rsidP="00000000" w:rsidRDefault="00000000" w:rsidRPr="00000000" w14:paraId="0000001C">
      <w:pPr>
        <w:spacing w:after="0" w:line="259" w:lineRule="auto"/>
        <w:jc w:val="left"/>
        <w:rPr>
          <w:rFonts w:ascii="Montserrat Medium" w:cs="Montserrat Medium" w:eastAsia="Montserrat Medium" w:hAnsi="Montserrat Medium"/>
          <w:i w:val="1"/>
          <w:sz w:val="22"/>
          <w:szCs w:val="22"/>
        </w:rPr>
      </w:pPr>
      <w:r w:rsidDel="00000000" w:rsidR="00000000" w:rsidRPr="00000000">
        <w:rPr>
          <w:rFonts w:ascii="Montserrat Medium" w:cs="Montserrat Medium" w:eastAsia="Montserrat Medium" w:hAnsi="Montserrat Medium"/>
          <w:i w:val="1"/>
          <w:sz w:val="22"/>
          <w:szCs w:val="22"/>
          <w:rtl w:val="0"/>
        </w:rPr>
        <w:t xml:space="preserve">Calculated according to Article 6 of the Annex to the Commission Recommendation 2003/361/EC on the SME definition.</w:t>
      </w:r>
    </w:p>
    <w:tbl>
      <w:tblPr>
        <w:tblStyle w:val="Table3"/>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3059"/>
        <w:gridCol w:w="3011"/>
        <w:gridCol w:w="3002"/>
        <w:tblGridChange w:id="0">
          <w:tblGrid>
            <w:gridCol w:w="3059"/>
            <w:gridCol w:w="3011"/>
            <w:gridCol w:w="3002"/>
          </w:tblGrid>
        </w:tblGridChange>
      </w:tblGrid>
      <w:tr>
        <w:trPr>
          <w:cantSplit w:val="0"/>
          <w:tblHeader w:val="0"/>
        </w:trPr>
        <w:tc>
          <w:tcPr>
            <w:gridSpan w:val="3"/>
            <w:tcBorders>
              <w:top w:color="000000" w:space="0" w:sz="18" w:val="single"/>
            </w:tcBorders>
            <w:shd w:fill="008f4a" w:val="clear"/>
          </w:tcPr>
          <w:p w:rsidR="00000000" w:rsidDel="00000000" w:rsidP="00000000" w:rsidRDefault="00000000" w:rsidRPr="00000000" w14:paraId="0000001D">
            <w:pPr>
              <w:widowControl w:val="0"/>
              <w:spacing w:after="20" w:before="20" w:line="240"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color w:val="f6f6f6"/>
                <w:rtl w:val="0"/>
              </w:rPr>
              <w:t xml:space="preserve">Reference period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20">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Headcount (AWU)</w:t>
            </w:r>
          </w:p>
        </w:tc>
        <w:tc>
          <w:tcPr>
            <w:tcBorders>
              <w:left w:color="6e7c95" w:space="0" w:sz="4" w:val="single"/>
              <w:right w:color="6e7c95" w:space="0" w:sz="4" w:val="single"/>
            </w:tcBorders>
          </w:tcPr>
          <w:p w:rsidR="00000000" w:rsidDel="00000000" w:rsidP="00000000" w:rsidRDefault="00000000" w:rsidRPr="00000000" w14:paraId="00000021">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Annual turnover (**)</w:t>
            </w:r>
          </w:p>
        </w:tc>
        <w:tc>
          <w:tcPr>
            <w:tcBorders>
              <w:left w:color="6e7c95" w:space="0" w:sz="4" w:val="single"/>
              <w:bottom w:color="000000" w:space="0" w:sz="4" w:val="single"/>
            </w:tcBorders>
          </w:tcPr>
          <w:p w:rsidR="00000000" w:rsidDel="00000000" w:rsidP="00000000" w:rsidRDefault="00000000" w:rsidRPr="00000000" w14:paraId="00000022">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Balance sheet total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23">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_______</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24">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_______</w:t>
            </w:r>
          </w:p>
        </w:tc>
        <w:tc>
          <w:tcPr>
            <w:tcBorders>
              <w:left w:color="6e7c95" w:space="0" w:sz="4" w:val="single"/>
              <w:bottom w:color="000000" w:space="0" w:sz="4" w:val="single"/>
            </w:tcBorders>
          </w:tcPr>
          <w:p w:rsidR="00000000" w:rsidDel="00000000" w:rsidP="00000000" w:rsidRDefault="00000000" w:rsidRPr="00000000" w14:paraId="00000025">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_______</w:t>
            </w:r>
          </w:p>
        </w:tc>
      </w:tr>
      <w:tr>
        <w:trPr>
          <w:cantSplit w:val="0"/>
          <w:tblHeader w:val="0"/>
        </w:trPr>
        <w:tc>
          <w:tcPr>
            <w:gridSpan w:val="3"/>
          </w:tcPr>
          <w:p w:rsidR="00000000" w:rsidDel="00000000" w:rsidP="00000000" w:rsidRDefault="00000000" w:rsidRPr="00000000" w14:paraId="00000026">
            <w:pPr>
              <w:widowControl w:val="0"/>
              <w:spacing w:after="20" w:before="20" w:line="240" w:lineRule="auto"/>
              <w:jc w:val="left"/>
              <w:rPr>
                <w:rFonts w:ascii="Montserrat Medium" w:cs="Montserrat Medium" w:eastAsia="Montserrat Medium" w:hAnsi="Montserrat Medium"/>
                <w:i w:val="1"/>
                <w:sz w:val="22"/>
                <w:szCs w:val="22"/>
              </w:rPr>
            </w:pPr>
            <w:r w:rsidDel="00000000" w:rsidR="00000000" w:rsidRPr="00000000">
              <w:rPr>
                <w:rFonts w:ascii="Montserrat Medium" w:cs="Montserrat Medium" w:eastAsia="Montserrat Medium" w:hAnsi="Montserrat Medium"/>
                <w:i w:val="1"/>
                <w:sz w:val="22"/>
                <w:szCs w:val="22"/>
                <w:rtl w:val="0"/>
              </w:rPr>
              <w:t xml:space="preserve">(*) All data must be related to the last approved accounting period and calculated on an annual basis. In the case of newly established enterprises whose accounts have not yet been approved, the data to apply shall be derived from a reliable estimate made over the financial year.</w:t>
            </w:r>
          </w:p>
          <w:p w:rsidR="00000000" w:rsidDel="00000000" w:rsidP="00000000" w:rsidRDefault="00000000" w:rsidRPr="00000000" w14:paraId="00000027">
            <w:pPr>
              <w:widowControl w:val="0"/>
              <w:spacing w:after="20" w:before="2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i w:val="1"/>
                <w:sz w:val="22"/>
                <w:szCs w:val="22"/>
                <w:rtl w:val="0"/>
              </w:rPr>
              <w:t xml:space="preserve">(**) EUR 1 000.</w:t>
            </w:r>
            <w:r w:rsidDel="00000000" w:rsidR="00000000" w:rsidRPr="00000000">
              <w:rPr>
                <w:rtl w:val="0"/>
              </w:rPr>
            </w:r>
          </w:p>
        </w:tc>
      </w:tr>
    </w:tbl>
    <w:p w:rsidR="00000000" w:rsidDel="00000000" w:rsidP="00000000" w:rsidRDefault="00000000" w:rsidRPr="00000000" w14:paraId="0000002A">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tbl>
      <w:tblPr>
        <w:tblStyle w:val="Table4"/>
        <w:tblW w:w="9070.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4537"/>
        <w:gridCol w:w="4533"/>
        <w:tblGridChange w:id="0">
          <w:tblGrid>
            <w:gridCol w:w="4537"/>
            <w:gridCol w:w="4533"/>
          </w:tblGrid>
        </w:tblGridChange>
      </w:tblGrid>
      <w:tr>
        <w:trPr>
          <w:cantSplit w:val="0"/>
          <w:trHeight w:val="607" w:hRule="atLeast"/>
          <w:tblHeader w:val="0"/>
        </w:trPr>
        <w:tc>
          <w:tcPr>
            <w:vMerge w:val="restart"/>
            <w:tcBorders>
              <w:top w:color="000000" w:space="0" w:sz="0" w:val="nil"/>
              <w:bottom w:color="000000" w:space="0" w:sz="0" w:val="nil"/>
              <w:right w:color="6e7c95" w:space="0" w:sz="4" w:val="single"/>
            </w:tcBorders>
            <w:shd w:fill="008f4a" w:val="clear"/>
          </w:tcPr>
          <w:p w:rsidR="00000000" w:rsidDel="00000000" w:rsidP="00000000" w:rsidRDefault="00000000" w:rsidRPr="00000000" w14:paraId="0000002B">
            <w:pPr>
              <w:widowControl w:val="0"/>
              <w:spacing w:after="0" w:line="259" w:lineRule="auto"/>
              <w:jc w:val="left"/>
              <w:rPr>
                <w:rFonts w:ascii="Montserrat Medium" w:cs="Montserrat Medium" w:eastAsia="Montserrat Medium" w:hAnsi="Montserrat Medium"/>
                <w:b w:val="1"/>
                <w:color w:val="f6f6f6"/>
              </w:rPr>
            </w:pPr>
            <w:r w:rsidDel="00000000" w:rsidR="00000000" w:rsidRPr="00000000">
              <w:rPr>
                <w:rFonts w:ascii="Montserrat Medium" w:cs="Montserrat Medium" w:eastAsia="Montserrat Medium" w:hAnsi="Montserrat Medium"/>
                <w:b w:val="1"/>
                <w:color w:val="f6f6f6"/>
                <w:rtl w:val="0"/>
              </w:rPr>
              <w:t xml:space="preserve">Important:</w:t>
            </w:r>
          </w:p>
          <w:p w:rsidR="00000000" w:rsidDel="00000000" w:rsidP="00000000" w:rsidRDefault="00000000" w:rsidRPr="00000000" w14:paraId="0000002C">
            <w:pPr>
              <w:widowControl w:val="0"/>
              <w:spacing w:after="0" w:line="259"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color w:val="f6f6f6"/>
                <w:rtl w:val="0"/>
              </w:rPr>
              <w:t xml:space="preserve">Compared to the previous accounting period there is a change regarding the data, which could result in a change of category of the applicant enterprise (micro, small, medium-sized, or big enterprise).</w:t>
            </w:r>
          </w:p>
        </w:tc>
        <w:tc>
          <w:tcPr>
            <w:tcBorders>
              <w:top w:color="000000" w:space="0" w:sz="0" w:val="nil"/>
              <w:left w:color="6e7c95" w:space="0" w:sz="4" w:val="single"/>
              <w:bottom w:color="000000" w:space="0" w:sz="0" w:val="nil"/>
            </w:tcBorders>
            <w:shd w:fill="008f4a" w:val="clear"/>
            <w:vAlign w:val="center"/>
          </w:tcPr>
          <w:p w:rsidR="00000000" w:rsidDel="00000000" w:rsidP="00000000" w:rsidRDefault="00000000" w:rsidRPr="00000000" w14:paraId="0000002D">
            <w:pPr>
              <w:widowControl w:val="0"/>
              <w:spacing w:after="0" w:line="259"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rPr>
              <w:drawing>
                <wp:inline distB="0" distT="0" distL="0" distR="0">
                  <wp:extent cx="153670" cy="135890"/>
                  <wp:effectExtent b="0" l="0" r="0" t="0"/>
                  <wp:docPr id="114648660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rFonts w:ascii="Montserrat Medium" w:cs="Montserrat Medium" w:eastAsia="Montserrat Medium" w:hAnsi="Montserrat Medium"/>
                <w:rtl w:val="0"/>
              </w:rPr>
              <w:t xml:space="preserve"> </w:t>
            </w:r>
            <w:r w:rsidDel="00000000" w:rsidR="00000000" w:rsidRPr="00000000">
              <w:rPr>
                <w:rFonts w:ascii="Montserrat Medium" w:cs="Montserrat Medium" w:eastAsia="Montserrat Medium" w:hAnsi="Montserrat Medium"/>
                <w:color w:val="f6f6f6"/>
                <w:rtl w:val="0"/>
              </w:rPr>
              <w:t xml:space="preserve">No</w:t>
            </w:r>
          </w:p>
        </w:tc>
      </w:tr>
      <w:tr>
        <w:trPr>
          <w:cantSplit w:val="0"/>
          <w:tblHeader w:val="0"/>
        </w:trPr>
        <w:tc>
          <w:tcPr>
            <w:vMerge w:val="continue"/>
            <w:tcBorders>
              <w:top w:color="000000" w:space="0" w:sz="0" w:val="nil"/>
              <w:bottom w:color="000000" w:space="0" w:sz="0" w:val="nil"/>
              <w:right w:color="6e7c95" w:space="0" w:sz="4" w:val="single"/>
            </w:tcBorders>
            <w:shd w:fill="008f4a" w:val="clear"/>
          </w:tcPr>
          <w:p w:rsidR="00000000" w:rsidDel="00000000" w:rsidP="00000000" w:rsidRDefault="00000000" w:rsidRPr="00000000" w14:paraId="0000002E">
            <w:pPr>
              <w:widowControl w:val="0"/>
              <w:spacing w:after="0" w:line="276" w:lineRule="auto"/>
              <w:jc w:val="left"/>
              <w:rPr>
                <w:rFonts w:ascii="Montserrat Medium" w:cs="Montserrat Medium" w:eastAsia="Montserrat Medium" w:hAnsi="Montserrat Medium"/>
                <w:color w:val="012169"/>
                <w:sz w:val="22"/>
                <w:szCs w:val="22"/>
              </w:rPr>
            </w:pPr>
            <w:r w:rsidDel="00000000" w:rsidR="00000000" w:rsidRPr="00000000">
              <w:rPr>
                <w:rtl w:val="0"/>
              </w:rPr>
            </w:r>
          </w:p>
        </w:tc>
        <w:tc>
          <w:tcPr>
            <w:tcBorders>
              <w:top w:color="000000" w:space="0" w:sz="0" w:val="nil"/>
              <w:left w:color="6e7c95" w:space="0" w:sz="4" w:val="single"/>
              <w:bottom w:color="000000" w:space="0" w:sz="0" w:val="nil"/>
            </w:tcBorders>
            <w:vAlign w:val="center"/>
          </w:tcPr>
          <w:p w:rsidR="00000000" w:rsidDel="00000000" w:rsidP="00000000" w:rsidRDefault="00000000" w:rsidRPr="00000000" w14:paraId="0000002F">
            <w:pPr>
              <w:widowControl w:val="0"/>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Pr>
              <w:drawing>
                <wp:inline distB="0" distT="0" distL="0" distR="0">
                  <wp:extent cx="153670" cy="135890"/>
                  <wp:effectExtent b="0" l="0" r="0" t="0"/>
                  <wp:docPr id="1146486599"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rFonts w:ascii="Montserrat Medium" w:cs="Montserrat Medium" w:eastAsia="Montserrat Medium" w:hAnsi="Montserrat Medium"/>
                <w:b w:val="1"/>
                <w:sz w:val="22"/>
                <w:szCs w:val="22"/>
                <w:rtl w:val="0"/>
              </w:rPr>
              <w:t xml:space="preserve"> Yes </w:t>
            </w:r>
            <w:r w:rsidDel="00000000" w:rsidR="00000000" w:rsidRPr="00000000">
              <w:rPr>
                <w:rFonts w:ascii="Montserrat Medium" w:cs="Montserrat Medium" w:eastAsia="Montserrat Medium" w:hAnsi="Montserrat Medium"/>
                <w:sz w:val="22"/>
                <w:szCs w:val="22"/>
                <w:rtl w:val="0"/>
              </w:rPr>
              <w:t xml:space="preserve">(</w:t>
            </w:r>
            <w:r w:rsidDel="00000000" w:rsidR="00000000" w:rsidRPr="00000000">
              <w:rPr>
                <w:rFonts w:ascii="Montserrat Medium" w:cs="Montserrat Medium" w:eastAsia="Montserrat Medium" w:hAnsi="Montserrat Medium"/>
                <w:i w:val="1"/>
                <w:sz w:val="22"/>
                <w:szCs w:val="22"/>
                <w:rtl w:val="0"/>
              </w:rPr>
              <w:t xml:space="preserve">in this case fill in and attach a declaration regarding the previous accounting period</w:t>
            </w:r>
            <w:r w:rsidDel="00000000" w:rsidR="00000000" w:rsidRPr="00000000">
              <w:rPr>
                <w:rFonts w:ascii="Montserrat Medium" w:cs="Montserrat Medium" w:eastAsia="Montserrat Medium" w:hAnsi="Montserrat Medium"/>
                <w:sz w:val="22"/>
                <w:szCs w:val="22"/>
                <w:rtl w:val="0"/>
              </w:rPr>
              <w:t xml:space="preserve">).</w:t>
            </w:r>
          </w:p>
        </w:tc>
      </w:tr>
    </w:tbl>
    <w:p w:rsidR="00000000" w:rsidDel="00000000" w:rsidP="00000000" w:rsidRDefault="00000000" w:rsidRPr="00000000" w14:paraId="00000030">
      <w:pPr>
        <w:spacing w:after="0" w:line="240" w:lineRule="auto"/>
        <w:jc w:val="left"/>
        <w:rPr>
          <w:rFonts w:ascii="Montserrat Medium" w:cs="Montserrat Medium" w:eastAsia="Montserrat Medium" w:hAnsi="Montserrat Medium"/>
          <w:b w:val="1"/>
          <w:color w:val="012169"/>
          <w:sz w:val="22"/>
          <w:szCs w:val="22"/>
        </w:rPr>
      </w:pPr>
      <w:r w:rsidDel="00000000" w:rsidR="00000000" w:rsidRPr="00000000">
        <w:rPr>
          <w:rtl w:val="0"/>
        </w:rPr>
      </w:r>
    </w:p>
    <w:p w:rsidR="00000000" w:rsidDel="00000000" w:rsidP="00000000" w:rsidRDefault="00000000" w:rsidRPr="00000000" w14:paraId="00000031">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Signature</w:t>
      </w:r>
    </w:p>
    <w:p w:rsidR="00000000" w:rsidDel="00000000" w:rsidP="00000000" w:rsidRDefault="00000000" w:rsidRPr="00000000" w14:paraId="00000032">
      <w:pPr>
        <w:spacing w:after="0" w:line="259" w:lineRule="auto"/>
        <w:jc w:val="left"/>
        <w:rPr>
          <w:rFonts w:ascii="Montserrat Medium" w:cs="Montserrat Medium" w:eastAsia="Montserrat Medium" w:hAnsi="Montserrat Medium"/>
          <w:sz w:val="4"/>
          <w:szCs w:val="4"/>
        </w:rPr>
      </w:pPr>
      <w:r w:rsidDel="00000000" w:rsidR="00000000" w:rsidRPr="00000000">
        <w:rPr>
          <w:rtl w:val="0"/>
        </w:rPr>
      </w:r>
    </w:p>
    <w:p w:rsidR="00000000" w:rsidDel="00000000" w:rsidP="00000000" w:rsidRDefault="00000000" w:rsidRPr="00000000" w14:paraId="00000033">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Name and position of the signatory, being authorised to represent the enterprise: </w:t>
      </w:r>
    </w:p>
    <w:p w:rsidR="00000000" w:rsidDel="00000000" w:rsidP="00000000" w:rsidRDefault="00000000" w:rsidRPr="00000000" w14:paraId="00000034">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__________________________________________________________________________________</w:t>
      </w:r>
    </w:p>
    <w:p w:rsidR="00000000" w:rsidDel="00000000" w:rsidP="00000000" w:rsidRDefault="00000000" w:rsidRPr="00000000" w14:paraId="00000035">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36">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I declare on my honour the accuracy of this declaration and of any annexes thereto.</w:t>
      </w:r>
    </w:p>
    <w:p w:rsidR="00000000" w:rsidDel="00000000" w:rsidP="00000000" w:rsidRDefault="00000000" w:rsidRPr="00000000" w14:paraId="00000037">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38">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Done at:</w:t>
      </w:r>
      <w:r w:rsidDel="00000000" w:rsidR="00000000" w:rsidRPr="00000000">
        <w:rPr>
          <w:rFonts w:ascii="Montserrat Medium" w:cs="Montserrat Medium" w:eastAsia="Montserrat Medium" w:hAnsi="Montserrat Medium"/>
          <w:sz w:val="22"/>
          <w:szCs w:val="22"/>
          <w:rtl w:val="0"/>
        </w:rPr>
        <w:t xml:space="preserve"> ______________________ (place) on _______ (day) ___________ (month) _______ (year)</w:t>
      </w:r>
    </w:p>
    <w:p w:rsidR="00000000" w:rsidDel="00000000" w:rsidP="00000000" w:rsidRDefault="00000000" w:rsidRPr="00000000" w14:paraId="00000039">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3A">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Signature: __________________________________________________________________________</w:t>
      </w:r>
    </w:p>
    <w:p w:rsidR="00000000" w:rsidDel="00000000" w:rsidP="00000000" w:rsidRDefault="00000000" w:rsidRPr="00000000" w14:paraId="0000003B">
      <w:pPr>
        <w:spacing w:after="0" w:line="259" w:lineRule="auto"/>
        <w:jc w:val="left"/>
        <w:rPr>
          <w:rFonts w:ascii="Montserrat Medium" w:cs="Montserrat Medium" w:eastAsia="Montserrat Medium" w:hAnsi="Montserrat Medium"/>
          <w:color w:val="012169"/>
          <w:sz w:val="22"/>
          <w:szCs w:val="22"/>
        </w:rPr>
      </w:pPr>
      <w:r w:rsidDel="00000000" w:rsidR="00000000" w:rsidRPr="00000000">
        <w:rPr>
          <w:rtl w:val="0"/>
        </w:rPr>
      </w:r>
    </w:p>
    <w:p w:rsidR="00000000" w:rsidDel="00000000" w:rsidP="00000000" w:rsidRDefault="00000000" w:rsidRPr="00000000" w14:paraId="0000003C">
      <w:pPr>
        <w:spacing w:after="160" w:line="259" w:lineRule="auto"/>
        <w:jc w:val="left"/>
        <w:rPr>
          <w:rFonts w:ascii="Montserrat Medium" w:cs="Montserrat Medium" w:eastAsia="Montserrat Medium" w:hAnsi="Montserrat Medium"/>
          <w:color w:val="8600e9"/>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3D">
      <w:pPr>
        <w:pStyle w:val="Heading2"/>
        <w:keepNext w:val="1"/>
        <w:keepLines w:val="1"/>
        <w:shd w:fill="auto" w:val="clear"/>
        <w:spacing w:before="0" w:line="240" w:lineRule="auto"/>
        <w:ind w:left="578" w:hanging="578"/>
        <w:jc w:val="center"/>
        <w:rPr>
          <w:rFonts w:ascii="Montserrat Medium" w:cs="Montserrat Medium" w:eastAsia="Montserrat Medium" w:hAnsi="Montserrat Medium"/>
          <w:sz w:val="26"/>
          <w:szCs w:val="26"/>
        </w:rPr>
      </w:pPr>
      <w:r w:rsidDel="00000000" w:rsidR="00000000" w:rsidRPr="00000000">
        <w:rPr>
          <w:rFonts w:ascii="Montserrat Medium" w:cs="Montserrat Medium" w:eastAsia="Montserrat Medium" w:hAnsi="Montserrat Medium"/>
          <w:sz w:val="26"/>
          <w:szCs w:val="26"/>
          <w:rtl w:val="0"/>
        </w:rPr>
        <w:t xml:space="preserve">EXPLANATORY NOTE ON THE TYPES OF ENTERPRISES TAKEN INTO ACCOUNT FOR CALCULATING THE HEADCOUNT </w:t>
        <w:br w:type="textWrapping"/>
        <w:t xml:space="preserve">AND THE FINANCIAL AMOUNTS</w:t>
      </w:r>
    </w:p>
    <w:p w:rsidR="00000000" w:rsidDel="00000000" w:rsidP="00000000" w:rsidRDefault="00000000" w:rsidRPr="00000000" w14:paraId="0000003E">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3F">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40">
      <w:pPr>
        <w:numPr>
          <w:ilvl w:val="0"/>
          <w:numId w:val="4"/>
        </w:numPr>
        <w:spacing w:after="0" w:line="240" w:lineRule="auto"/>
        <w:ind w:left="357"/>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TYPES OF ENTERPRISES </w:t>
      </w:r>
      <w:r w:rsidDel="00000000" w:rsidR="00000000" w:rsidRPr="00000000">
        <w:rPr>
          <w:rtl w:val="0"/>
        </w:rPr>
      </w:r>
    </w:p>
    <w:p w:rsidR="00000000" w:rsidDel="00000000" w:rsidP="00000000" w:rsidRDefault="00000000" w:rsidRPr="00000000" w14:paraId="00000041">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42">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definition of an SME</w:t>
      </w:r>
      <w:r w:rsidDel="00000000" w:rsidR="00000000" w:rsidRPr="00000000">
        <w:rPr>
          <w:rFonts w:ascii="Montserrat Medium" w:cs="Montserrat Medium" w:eastAsia="Montserrat Medium" w:hAnsi="Montserrat Medium"/>
          <w:sz w:val="22"/>
          <w:szCs w:val="22"/>
          <w:vertAlign w:val="superscript"/>
        </w:rPr>
        <w:footnoteReference w:customMarkFollows="0" w:id="0"/>
      </w:r>
      <w:r w:rsidDel="00000000" w:rsidR="00000000" w:rsidRPr="00000000">
        <w:rPr>
          <w:rFonts w:ascii="Montserrat Medium" w:cs="Montserrat Medium" w:eastAsia="Montserrat Medium" w:hAnsi="Montserrat Medium"/>
          <w:sz w:val="22"/>
          <w:szCs w:val="22"/>
          <w:rtl w:val="0"/>
        </w:rPr>
        <w:t xml:space="preserve"> distinguishes three types of enterprise, according to their relationship with other enterprises in terms of holdings of capital or voting rights or the right to exercise a dominant influence</w:t>
      </w:r>
      <w:r w:rsidDel="00000000" w:rsidR="00000000" w:rsidRPr="00000000">
        <w:rPr>
          <w:rFonts w:ascii="Montserrat Medium" w:cs="Montserrat Medium" w:eastAsia="Montserrat Medium" w:hAnsi="Montserrat Medium"/>
          <w:sz w:val="22"/>
          <w:szCs w:val="22"/>
          <w:vertAlign w:val="superscript"/>
        </w:rPr>
        <w:footnoteReference w:customMarkFollows="0" w:id="1"/>
      </w:r>
      <w:r w:rsidDel="00000000" w:rsidR="00000000" w:rsidRPr="00000000">
        <w:rPr>
          <w:rFonts w:ascii="Montserrat Medium" w:cs="Montserrat Medium" w:eastAsia="Montserrat Medium" w:hAnsi="Montserrat Medium"/>
          <w:sz w:val="22"/>
          <w:szCs w:val="22"/>
          <w:rtl w:val="0"/>
        </w:rPr>
        <w:t xml:space="preserve">.</w:t>
      </w:r>
    </w:p>
    <w:p w:rsidR="00000000" w:rsidDel="00000000" w:rsidP="00000000" w:rsidRDefault="00000000" w:rsidRPr="00000000" w14:paraId="00000043">
      <w:pPr>
        <w:spacing w:after="0" w:line="259" w:lineRule="auto"/>
        <w:jc w:val="left"/>
        <w:rPr>
          <w:rFonts w:ascii="Montserrat Medium" w:cs="Montserrat Medium" w:eastAsia="Montserrat Medium" w:hAnsi="Montserrat Medium"/>
          <w:b w:val="1"/>
          <w:i w:val="1"/>
          <w:sz w:val="22"/>
          <w:szCs w:val="22"/>
        </w:rPr>
      </w:pPr>
      <w:r w:rsidDel="00000000" w:rsidR="00000000" w:rsidRPr="00000000">
        <w:rPr>
          <w:rtl w:val="0"/>
        </w:rPr>
      </w:r>
    </w:p>
    <w:p w:rsidR="00000000" w:rsidDel="00000000" w:rsidP="00000000" w:rsidRDefault="00000000" w:rsidRPr="00000000" w14:paraId="00000044">
      <w:pPr>
        <w:spacing w:after="0" w:line="259" w:lineRule="auto"/>
        <w:jc w:val="left"/>
        <w:rPr>
          <w:rFonts w:ascii="Montserrat Medium" w:cs="Montserrat Medium" w:eastAsia="Montserrat Medium" w:hAnsi="Montserrat Medium"/>
          <w:b w:val="1"/>
          <w:i w:val="1"/>
          <w:sz w:val="22"/>
          <w:szCs w:val="22"/>
        </w:rPr>
      </w:pPr>
      <w:r w:rsidDel="00000000" w:rsidR="00000000" w:rsidRPr="00000000">
        <w:rPr>
          <w:rFonts w:ascii="Montserrat Medium" w:cs="Montserrat Medium" w:eastAsia="Montserrat Medium" w:hAnsi="Montserrat Medium"/>
          <w:b w:val="1"/>
          <w:i w:val="1"/>
          <w:sz w:val="22"/>
          <w:szCs w:val="22"/>
          <w:rtl w:val="0"/>
        </w:rPr>
        <w:t xml:space="preserve">Type 1: Autonomous Enterprise </w:t>
      </w:r>
    </w:p>
    <w:p w:rsidR="00000000" w:rsidDel="00000000" w:rsidP="00000000" w:rsidRDefault="00000000" w:rsidRPr="00000000" w14:paraId="00000045">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This is the most common type of enterprise. It applies to all enterprises which are not one of the two other types of enterprise (partner or linked). An applicant enterprise is autonomous if it:</w:t>
      </w:r>
    </w:p>
    <w:p w:rsidR="00000000" w:rsidDel="00000000" w:rsidP="00000000" w:rsidRDefault="00000000" w:rsidRPr="00000000" w14:paraId="00000046">
      <w:pPr>
        <w:numPr>
          <w:ilvl w:val="0"/>
          <w:numId w:val="2"/>
        </w:numPr>
        <w:spacing w:after="0" w:line="240" w:lineRule="auto"/>
        <w:ind w:left="720" w:hanging="360"/>
        <w:rPr>
          <w:rFonts w:ascii="Montserrat Medium" w:cs="Montserrat Medium" w:eastAsia="Montserrat Medium" w:hAnsi="Montserrat Medium"/>
          <w:sz w:val="22"/>
          <w:szCs w:val="22"/>
        </w:rPr>
      </w:pPr>
      <w:bookmarkStart w:colFirst="0" w:colLast="0" w:name="_heading=h.8nnlnl5ent4g" w:id="1"/>
      <w:bookmarkEnd w:id="1"/>
      <w:r w:rsidDel="00000000" w:rsidR="00000000" w:rsidRPr="00000000">
        <w:rPr>
          <w:rFonts w:ascii="Montserrat Medium" w:cs="Montserrat Medium" w:eastAsia="Montserrat Medium" w:hAnsi="Montserrat Medium"/>
          <w:sz w:val="22"/>
          <w:szCs w:val="22"/>
          <w:rtl w:val="0"/>
        </w:rPr>
        <w:t xml:space="preserve">Does not have a holding of 25%</w:t>
      </w:r>
      <w:r w:rsidDel="00000000" w:rsidR="00000000" w:rsidRPr="00000000">
        <w:rPr>
          <w:rFonts w:ascii="Montserrat Medium" w:cs="Montserrat Medium" w:eastAsia="Montserrat Medium" w:hAnsi="Montserrat Medium"/>
          <w:sz w:val="22"/>
          <w:szCs w:val="22"/>
          <w:vertAlign w:val="superscript"/>
        </w:rPr>
        <w:footnoteReference w:customMarkFollows="0" w:id="2"/>
      </w:r>
      <w:r w:rsidDel="00000000" w:rsidR="00000000" w:rsidRPr="00000000">
        <w:rPr>
          <w:rFonts w:ascii="Montserrat Medium" w:cs="Montserrat Medium" w:eastAsia="Montserrat Medium" w:hAnsi="Montserrat Medium"/>
          <w:sz w:val="22"/>
          <w:szCs w:val="22"/>
          <w:rtl w:val="0"/>
        </w:rPr>
        <w:t xml:space="preserve"> or more in any other enterprise, </w:t>
      </w:r>
    </w:p>
    <w:p w:rsidR="00000000" w:rsidDel="00000000" w:rsidP="00000000" w:rsidRDefault="00000000" w:rsidRPr="00000000" w14:paraId="00000047">
      <w:pPr>
        <w:numPr>
          <w:ilvl w:val="0"/>
          <w:numId w:val="2"/>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And is not 25%</w:t>
      </w:r>
      <w:r w:rsidDel="00000000" w:rsidR="00000000" w:rsidRPr="00000000">
        <w:rPr>
          <w:rFonts w:ascii="Montserrat Medium" w:cs="Montserrat Medium" w:eastAsia="Montserrat Medium" w:hAnsi="Montserrat Medium"/>
          <w:sz w:val="22"/>
          <w:szCs w:val="22"/>
          <w:vertAlign w:val="superscript"/>
          <w:rtl w:val="0"/>
        </w:rPr>
        <w:t xml:space="preserve">3</w:t>
      </w:r>
      <w:r w:rsidDel="00000000" w:rsidR="00000000" w:rsidRPr="00000000">
        <w:rPr>
          <w:rFonts w:ascii="Montserrat Medium" w:cs="Montserrat Medium" w:eastAsia="Montserrat Medium" w:hAnsi="Montserrat Medium"/>
          <w:sz w:val="22"/>
          <w:szCs w:val="22"/>
          <w:rtl w:val="0"/>
        </w:rPr>
        <w:t xml:space="preserve"> or more owned by any enterprise or public body or jointly by several linked enterprises or public bodies, apart from some exceptions</w:t>
      </w:r>
      <w:r w:rsidDel="00000000" w:rsidR="00000000" w:rsidRPr="00000000">
        <w:rPr>
          <w:rFonts w:ascii="Montserrat Medium" w:cs="Montserrat Medium" w:eastAsia="Montserrat Medium" w:hAnsi="Montserrat Medium"/>
          <w:sz w:val="22"/>
          <w:szCs w:val="22"/>
          <w:vertAlign w:val="superscript"/>
        </w:rPr>
        <w:footnoteReference w:customMarkFollows="0" w:id="3"/>
      </w:r>
      <w:r w:rsidDel="00000000" w:rsidR="00000000" w:rsidRPr="00000000">
        <w:rPr>
          <w:rFonts w:ascii="Montserrat Medium" w:cs="Montserrat Medium" w:eastAsia="Montserrat Medium" w:hAnsi="Montserrat Medium"/>
          <w:sz w:val="22"/>
          <w:szCs w:val="22"/>
          <w:rtl w:val="0"/>
        </w:rPr>
        <w:t xml:space="preserve">,</w:t>
      </w:r>
    </w:p>
    <w:p w:rsidR="00000000" w:rsidDel="00000000" w:rsidP="00000000" w:rsidRDefault="00000000" w:rsidRPr="00000000" w14:paraId="00000048">
      <w:pPr>
        <w:numPr>
          <w:ilvl w:val="0"/>
          <w:numId w:val="2"/>
        </w:numPr>
        <w:spacing w:after="0" w:line="240" w:lineRule="auto"/>
        <w:ind w:left="720" w:hanging="360"/>
        <w:rPr>
          <w:rFonts w:ascii="Montserrat Medium" w:cs="Montserrat Medium" w:eastAsia="Montserrat Medium" w:hAnsi="Montserrat Medium"/>
          <w:sz w:val="22"/>
          <w:szCs w:val="22"/>
        </w:rPr>
      </w:pPr>
      <w:bookmarkStart w:colFirst="0" w:colLast="0" w:name="_heading=h.lbp5pkxngmuk" w:id="2"/>
      <w:bookmarkEnd w:id="2"/>
      <w:r w:rsidDel="00000000" w:rsidR="00000000" w:rsidRPr="00000000">
        <w:rPr>
          <w:rFonts w:ascii="Montserrat Medium" w:cs="Montserrat Medium" w:eastAsia="Montserrat Medium" w:hAnsi="Montserrat Medium"/>
          <w:sz w:val="22"/>
          <w:szCs w:val="22"/>
          <w:rtl w:val="0"/>
        </w:rPr>
        <w:t xml:space="preserve">And does not draw up consolidated accounts and is not included in the accounts of an enterprise which draws up consolidated accounts and is thus not a linked enterprise</w:t>
      </w:r>
      <w:r w:rsidDel="00000000" w:rsidR="00000000" w:rsidRPr="00000000">
        <w:rPr>
          <w:rFonts w:ascii="Montserrat Medium" w:cs="Montserrat Medium" w:eastAsia="Montserrat Medium" w:hAnsi="Montserrat Medium"/>
          <w:sz w:val="22"/>
          <w:szCs w:val="22"/>
          <w:vertAlign w:val="superscript"/>
        </w:rPr>
        <w:footnoteReference w:customMarkFollows="0" w:id="4"/>
      </w:r>
      <w:r w:rsidDel="00000000" w:rsidR="00000000" w:rsidRPr="00000000">
        <w:rPr>
          <w:rFonts w:ascii="Montserrat Medium" w:cs="Montserrat Medium" w:eastAsia="Montserrat Medium" w:hAnsi="Montserrat Medium"/>
          <w:sz w:val="22"/>
          <w:szCs w:val="22"/>
          <w:rtl w:val="0"/>
        </w:rPr>
        <w:t xml:space="preserve">.</w:t>
      </w:r>
    </w:p>
    <w:p w:rsidR="00000000" w:rsidDel="00000000" w:rsidP="00000000" w:rsidRDefault="00000000" w:rsidRPr="00000000" w14:paraId="00000049">
      <w:pPr>
        <w:spacing w:after="0" w:line="259" w:lineRule="auto"/>
        <w:jc w:val="left"/>
        <w:rPr>
          <w:rFonts w:ascii="Montserrat Medium" w:cs="Montserrat Medium" w:eastAsia="Montserrat Medium" w:hAnsi="Montserrat Medium"/>
          <w:b w:val="1"/>
          <w:i w:val="1"/>
          <w:sz w:val="22"/>
          <w:szCs w:val="22"/>
        </w:rPr>
      </w:pPr>
      <w:r w:rsidDel="00000000" w:rsidR="00000000" w:rsidRPr="00000000">
        <w:rPr>
          <w:rFonts w:ascii="Montserrat Medium" w:cs="Montserrat Medium" w:eastAsia="Montserrat Medium" w:hAnsi="Montserrat Medium"/>
          <w:b w:val="1"/>
          <w:i w:val="1"/>
          <w:sz w:val="22"/>
          <w:szCs w:val="22"/>
          <w:rtl w:val="0"/>
        </w:rPr>
        <w:t xml:space="preserve">Type 2: Partner Enterprise</w:t>
      </w:r>
    </w:p>
    <w:p w:rsidR="00000000" w:rsidDel="00000000" w:rsidP="00000000" w:rsidRDefault="00000000" w:rsidRPr="00000000" w14:paraId="0000004A">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This type represents the situation of enterprises which establish major financial partnerships with other enterprises, without the one exercising effective direct or indirect control over the other. Partners are enterprises which are not autonomous, but which are not linked to one another. </w:t>
      </w:r>
    </w:p>
    <w:p w:rsidR="00000000" w:rsidDel="00000000" w:rsidP="00000000" w:rsidRDefault="00000000" w:rsidRPr="00000000" w14:paraId="0000004B">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applicant enterprise is a partner of another enterprise if:</w:t>
      </w:r>
    </w:p>
    <w:p w:rsidR="00000000" w:rsidDel="00000000" w:rsidP="00000000" w:rsidRDefault="00000000" w:rsidRPr="00000000" w14:paraId="0000004C">
      <w:pPr>
        <w:numPr>
          <w:ilvl w:val="0"/>
          <w:numId w:val="5"/>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It has a holding or voting rights equal to or greater than 25% in the other enterprise, or the other enterprise has a holding or voting rights equal to or greater than 25% in the applicant enterprise.</w:t>
      </w:r>
    </w:p>
    <w:p w:rsidR="00000000" w:rsidDel="00000000" w:rsidP="00000000" w:rsidRDefault="00000000" w:rsidRPr="00000000" w14:paraId="0000004D">
      <w:pPr>
        <w:numPr>
          <w:ilvl w:val="0"/>
          <w:numId w:val="5"/>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enterprises are not linked enterprises within the meaning defined below, which means, among other things, that the voting rights of one in the other do not exceed 50%.</w:t>
      </w:r>
    </w:p>
    <w:p w:rsidR="00000000" w:rsidDel="00000000" w:rsidP="00000000" w:rsidRDefault="00000000" w:rsidRPr="00000000" w14:paraId="0000004E">
      <w:pPr>
        <w:numPr>
          <w:ilvl w:val="0"/>
          <w:numId w:val="5"/>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And the applicant enterprise does not draw up consolidated accounts which include the other enterprise by consolidation and is not included by consolidation in the accounts of the other enterprise or of an enterprise linked to it</w:t>
      </w:r>
      <w:r w:rsidDel="00000000" w:rsidR="00000000" w:rsidRPr="00000000">
        <w:rPr>
          <w:rFonts w:ascii="Montserrat Medium" w:cs="Montserrat Medium" w:eastAsia="Montserrat Medium" w:hAnsi="Montserrat Medium"/>
          <w:sz w:val="22"/>
          <w:szCs w:val="22"/>
          <w:vertAlign w:val="superscript"/>
          <w:rtl w:val="0"/>
        </w:rPr>
        <w:t xml:space="preserve">5</w:t>
      </w:r>
      <w:r w:rsidDel="00000000" w:rsidR="00000000" w:rsidRPr="00000000">
        <w:rPr>
          <w:rFonts w:ascii="Montserrat Medium" w:cs="Montserrat Medium" w:eastAsia="Montserrat Medium" w:hAnsi="Montserrat Medium"/>
          <w:sz w:val="22"/>
          <w:szCs w:val="22"/>
          <w:rtl w:val="0"/>
        </w:rPr>
        <w:t xml:space="preserve">.</w:t>
      </w:r>
    </w:p>
    <w:p w:rsidR="00000000" w:rsidDel="00000000" w:rsidP="00000000" w:rsidRDefault="00000000" w:rsidRPr="00000000" w14:paraId="0000004F">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50">
      <w:pPr>
        <w:spacing w:after="0" w:line="259" w:lineRule="auto"/>
        <w:ind w:left="708"/>
        <w:jc w:val="left"/>
        <w:rPr>
          <w:rFonts w:ascii="Montserrat Medium" w:cs="Montserrat Medium" w:eastAsia="Montserrat Medium" w:hAnsi="Montserrat Medium"/>
          <w:b w:val="1"/>
          <w:i w:val="1"/>
          <w:sz w:val="22"/>
          <w:szCs w:val="22"/>
        </w:rPr>
      </w:pPr>
      <w:r w:rsidDel="00000000" w:rsidR="00000000" w:rsidRPr="00000000">
        <w:rPr>
          <w:rFonts w:ascii="Montserrat Medium" w:cs="Montserrat Medium" w:eastAsia="Montserrat Medium" w:hAnsi="Montserrat Medium"/>
          <w:b w:val="1"/>
          <w:i w:val="1"/>
          <w:sz w:val="22"/>
          <w:szCs w:val="22"/>
          <w:rtl w:val="0"/>
        </w:rPr>
        <w:t xml:space="preserve">Type 3: Linked Enterprise</w:t>
      </w:r>
      <w:r w:rsidDel="00000000" w:rsidR="00000000" w:rsidRPr="00000000">
        <w:rPr>
          <w:rtl w:val="0"/>
        </w:rPr>
      </w:r>
    </w:p>
    <w:p w:rsidR="00000000" w:rsidDel="00000000" w:rsidP="00000000" w:rsidRDefault="00000000" w:rsidRPr="00000000" w14:paraId="00000051">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This type corresponds to the economic situation of enterprises which form a group through the direct or indirect control of the majority of the voting rights (including through agreements or, in certain cases, through natural persons as shareholders), or through the ability to exercise a dominant influence on an enterprise. Such cases are thus less frequent than the two preceding types. </w:t>
      </w:r>
    </w:p>
    <w:p w:rsidR="00000000" w:rsidDel="00000000" w:rsidP="00000000" w:rsidRDefault="00000000" w:rsidRPr="00000000" w14:paraId="00000052">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To avoid difficulties of interpretation for enterprises, the Commission has defined this type of enterprise by taking over – wherever they are suitable for the purposes of the Definition – the conditions set out in Article 1 of Council Directive 83/349/EEC on consolidated accounts</w:t>
      </w:r>
      <w:r w:rsidDel="00000000" w:rsidR="00000000" w:rsidRPr="00000000">
        <w:rPr>
          <w:rFonts w:ascii="Montserrat Medium" w:cs="Montserrat Medium" w:eastAsia="Montserrat Medium" w:hAnsi="Montserrat Medium"/>
          <w:sz w:val="22"/>
          <w:szCs w:val="22"/>
          <w:vertAlign w:val="superscript"/>
        </w:rPr>
        <w:footnoteReference w:customMarkFollows="0" w:id="5"/>
      </w:r>
      <w:r w:rsidDel="00000000" w:rsidR="00000000" w:rsidRPr="00000000">
        <w:rPr>
          <w:rFonts w:ascii="Montserrat Medium" w:cs="Montserrat Medium" w:eastAsia="Montserrat Medium" w:hAnsi="Montserrat Medium"/>
          <w:sz w:val="22"/>
          <w:szCs w:val="22"/>
          <w:rtl w:val="0"/>
        </w:rPr>
        <w:t xml:space="preserve">, which has been applied for many years. </w:t>
      </w:r>
    </w:p>
    <w:p w:rsidR="00000000" w:rsidDel="00000000" w:rsidP="00000000" w:rsidRDefault="00000000" w:rsidRPr="00000000" w14:paraId="00000053">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An enterprise thus generally knows immediately that it is linked, since it is already required under that Directive to draw up consolidated accounts or is included by consolidation in the accounts of an enterprise which is required to draw up such consolidated accounts. </w:t>
      </w:r>
    </w:p>
    <w:p w:rsidR="00000000" w:rsidDel="00000000" w:rsidP="00000000" w:rsidRDefault="00000000" w:rsidRPr="00000000" w14:paraId="00000054">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only two cases, which are however not very frequent, in which an enterprise can be considered linked although it is not already required to draw up consolidated accounts, are described in the first two indents of endnote 5 of this </w:t>
      </w:r>
      <w:r w:rsidDel="00000000" w:rsidR="00000000" w:rsidRPr="00000000">
        <w:rPr>
          <w:rFonts w:ascii="Montserrat Medium" w:cs="Montserrat Medium" w:eastAsia="Montserrat Medium" w:hAnsi="Montserrat Medium"/>
          <w:sz w:val="22"/>
          <w:szCs w:val="22"/>
          <w:rtl w:val="0"/>
        </w:rPr>
        <w:t xml:space="preserve">explanatory note. In those cases, the enterprise should check whether it meets one or other of the conditions set out in Article 3 paragraph 3 of the Definition.</w:t>
      </w:r>
      <w:r w:rsidDel="00000000" w:rsidR="00000000" w:rsidRPr="00000000">
        <w:br w:type="page"/>
      </w:r>
      <w:r w:rsidDel="00000000" w:rsidR="00000000" w:rsidRPr="00000000">
        <w:rPr>
          <w:rtl w:val="0"/>
        </w:rPr>
      </w:r>
    </w:p>
    <w:p w:rsidR="00000000" w:rsidDel="00000000" w:rsidP="00000000" w:rsidRDefault="00000000" w:rsidRPr="00000000" w14:paraId="00000055">
      <w:pPr>
        <w:numPr>
          <w:ilvl w:val="0"/>
          <w:numId w:val="4"/>
        </w:numPr>
        <w:spacing w:after="0" w:line="240" w:lineRule="auto"/>
        <w:ind w:left="357"/>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THE HEADCOUNT AND THE ANNUAL WORK UNITS</w:t>
      </w:r>
      <w:r w:rsidDel="00000000" w:rsidR="00000000" w:rsidRPr="00000000">
        <w:rPr>
          <w:rFonts w:ascii="Montserrat Medium" w:cs="Montserrat Medium" w:eastAsia="Montserrat Medium" w:hAnsi="Montserrat Medium"/>
          <w:b w:val="1"/>
          <w:sz w:val="24"/>
          <w:szCs w:val="24"/>
          <w:vertAlign w:val="superscript"/>
        </w:rPr>
        <w:footnoteReference w:customMarkFollows="0" w:id="6"/>
      </w:r>
      <w:r w:rsidDel="00000000" w:rsidR="00000000" w:rsidRPr="00000000">
        <w:rPr>
          <w:rtl w:val="0"/>
        </w:rPr>
      </w:r>
    </w:p>
    <w:p w:rsidR="00000000" w:rsidDel="00000000" w:rsidP="00000000" w:rsidRDefault="00000000" w:rsidRPr="00000000" w14:paraId="00000056">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57">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headcount of an enterprise corresponds to the number of annual work units (AWU).</w:t>
      </w:r>
    </w:p>
    <w:p w:rsidR="00000000" w:rsidDel="00000000" w:rsidP="00000000" w:rsidRDefault="00000000" w:rsidRPr="00000000" w14:paraId="00000058">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Who is included in the headcount?</w:t>
      </w:r>
    </w:p>
    <w:p w:rsidR="00000000" w:rsidDel="00000000" w:rsidP="00000000" w:rsidRDefault="00000000" w:rsidRPr="00000000" w14:paraId="00000059">
      <w:pPr>
        <w:numPr>
          <w:ilvl w:val="0"/>
          <w:numId w:val="6"/>
        </w:numPr>
        <w:spacing w:after="0" w:line="240" w:lineRule="auto"/>
        <w:ind w:left="714" w:hanging="357"/>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employees of the applicant enterprise, </w:t>
      </w:r>
    </w:p>
    <w:p w:rsidR="00000000" w:rsidDel="00000000" w:rsidP="00000000" w:rsidRDefault="00000000" w:rsidRPr="00000000" w14:paraId="0000005A">
      <w:pPr>
        <w:numPr>
          <w:ilvl w:val="0"/>
          <w:numId w:val="6"/>
        </w:numPr>
        <w:spacing w:after="0" w:line="240" w:lineRule="auto"/>
        <w:ind w:left="714" w:hanging="357"/>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persons working for the enterprise being subordinate to it and considered to be employees under national law,</w:t>
      </w:r>
    </w:p>
    <w:p w:rsidR="00000000" w:rsidDel="00000000" w:rsidP="00000000" w:rsidRDefault="00000000" w:rsidRPr="00000000" w14:paraId="0000005B">
      <w:pPr>
        <w:numPr>
          <w:ilvl w:val="0"/>
          <w:numId w:val="6"/>
        </w:numPr>
        <w:spacing w:after="0" w:line="240" w:lineRule="auto"/>
        <w:ind w:left="714" w:hanging="357"/>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owner-managers,</w:t>
      </w:r>
    </w:p>
    <w:p w:rsidR="00000000" w:rsidDel="00000000" w:rsidP="00000000" w:rsidRDefault="00000000" w:rsidRPr="00000000" w14:paraId="0000005C">
      <w:pPr>
        <w:numPr>
          <w:ilvl w:val="0"/>
          <w:numId w:val="6"/>
        </w:numPr>
        <w:spacing w:after="0" w:line="240" w:lineRule="auto"/>
        <w:ind w:left="714" w:hanging="357"/>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partners engaging in a regular activity in the enterprise and benefiting from financial advantages from the enterprise. </w:t>
      </w:r>
    </w:p>
    <w:p w:rsidR="00000000" w:rsidDel="00000000" w:rsidP="00000000" w:rsidRDefault="00000000" w:rsidRPr="00000000" w14:paraId="0000005D">
      <w:pPr>
        <w:spacing w:after="16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5E">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Apprentices or students engaged in vocational training with an apprenticeship or vocational training contract are not considered in the headcount.</w:t>
      </w:r>
    </w:p>
    <w:p w:rsidR="00000000" w:rsidDel="00000000" w:rsidP="00000000" w:rsidRDefault="00000000" w:rsidRPr="00000000" w14:paraId="0000005F">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60">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How is the headcount calculated? </w:t>
      </w:r>
    </w:p>
    <w:p w:rsidR="00000000" w:rsidDel="00000000" w:rsidP="00000000" w:rsidRDefault="00000000" w:rsidRPr="00000000" w14:paraId="00000061">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One AWU corresponds to one person who worked full-time in the enterprise in question or on its behalf during the entire reference year. The headcount is expressed in AWUs. </w:t>
      </w:r>
    </w:p>
    <w:p w:rsidR="00000000" w:rsidDel="00000000" w:rsidP="00000000" w:rsidRDefault="00000000" w:rsidRPr="00000000" w14:paraId="00000062">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work of persons, who did not work the entire year, or who worked part-time - regardless of its duration - and seasonal work is counted as fractions of AWU. </w:t>
      </w:r>
    </w:p>
    <w:p w:rsidR="00000000" w:rsidDel="00000000" w:rsidP="00000000" w:rsidRDefault="00000000" w:rsidRPr="00000000" w14:paraId="00000063">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duration of maternity or parental leaves is not counted.</w:t>
      </w:r>
    </w:p>
    <w:p w:rsidR="00000000" w:rsidDel="00000000" w:rsidP="00000000" w:rsidRDefault="00000000" w:rsidRPr="00000000" w14:paraId="00000064">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65">
      <w:pPr>
        <w:spacing w:line="259" w:lineRule="auto"/>
        <w:jc w:val="left"/>
        <w:rPr>
          <w:rFonts w:ascii="Montserrat Medium" w:cs="Montserrat Medium" w:eastAsia="Montserrat Medium" w:hAnsi="Montserrat Medium"/>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2"/>
        <w:keepNext w:val="1"/>
        <w:keepLines w:val="1"/>
        <w:shd w:fill="auto" w:val="clear"/>
        <w:spacing w:before="0" w:line="240" w:lineRule="auto"/>
        <w:ind w:left="578" w:hanging="578"/>
        <w:jc w:val="center"/>
        <w:rPr>
          <w:rFonts w:ascii="Montserrat Medium" w:cs="Montserrat Medium" w:eastAsia="Montserrat Medium" w:hAnsi="Montserrat Medium"/>
          <w:sz w:val="26"/>
          <w:szCs w:val="26"/>
        </w:rPr>
      </w:pPr>
      <w:r w:rsidDel="00000000" w:rsidR="00000000" w:rsidRPr="00000000">
        <w:rPr>
          <w:rFonts w:ascii="Montserrat Medium" w:cs="Montserrat Medium" w:eastAsia="Montserrat Medium" w:hAnsi="Montserrat Medium"/>
          <w:sz w:val="26"/>
          <w:szCs w:val="26"/>
          <w:rtl w:val="0"/>
        </w:rPr>
        <w:t xml:space="preserve">ANNEX TO THE DECLARATION CALCULATION FOR THE PARTNER OR LINKED TYPE OF ENTREPRISE</w:t>
      </w:r>
    </w:p>
    <w:p w:rsidR="00000000" w:rsidDel="00000000" w:rsidP="00000000" w:rsidRDefault="00000000" w:rsidRPr="00000000" w14:paraId="00000067">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68">
      <w:pPr>
        <w:spacing w:after="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Annexes to be enclosed if necessary </w:t>
      </w:r>
    </w:p>
    <w:p w:rsidR="00000000" w:rsidDel="00000000" w:rsidP="00000000" w:rsidRDefault="00000000" w:rsidRPr="00000000" w14:paraId="00000069">
      <w:pPr>
        <w:numPr>
          <w:ilvl w:val="0"/>
          <w:numId w:val="7"/>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Annex A</w:t>
      </w:r>
      <w:r w:rsidDel="00000000" w:rsidR="00000000" w:rsidRPr="00000000">
        <w:rPr>
          <w:rFonts w:ascii="Montserrat Medium" w:cs="Montserrat Medium" w:eastAsia="Montserrat Medium" w:hAnsi="Montserrat Medium"/>
          <w:sz w:val="22"/>
          <w:szCs w:val="22"/>
          <w:rtl w:val="0"/>
        </w:rPr>
        <w:t xml:space="preserve"> if the applicant enterprise has at least one partner enterprise (and any additional sheets) </w:t>
      </w:r>
    </w:p>
    <w:p w:rsidR="00000000" w:rsidDel="00000000" w:rsidP="00000000" w:rsidRDefault="00000000" w:rsidRPr="00000000" w14:paraId="0000006A">
      <w:pPr>
        <w:numPr>
          <w:ilvl w:val="0"/>
          <w:numId w:val="7"/>
        </w:numPr>
        <w:spacing w:after="0" w:line="240" w:lineRule="auto"/>
        <w:ind w:left="720" w:hanging="36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Annex B</w:t>
      </w:r>
      <w:r w:rsidDel="00000000" w:rsidR="00000000" w:rsidRPr="00000000">
        <w:rPr>
          <w:rFonts w:ascii="Montserrat Medium" w:cs="Montserrat Medium" w:eastAsia="Montserrat Medium" w:hAnsi="Montserrat Medium"/>
          <w:sz w:val="22"/>
          <w:szCs w:val="22"/>
          <w:rtl w:val="0"/>
        </w:rPr>
        <w:t xml:space="preserve"> if the applicant enterprise has at least one linked enterprise (and any additional sheets) </w:t>
      </w:r>
    </w:p>
    <w:p w:rsidR="00000000" w:rsidDel="00000000" w:rsidP="00000000" w:rsidRDefault="00000000" w:rsidRPr="00000000" w14:paraId="0000006B">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6C">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Calculation for the partner or linked type of enterprise</w:t>
      </w:r>
      <w:r w:rsidDel="00000000" w:rsidR="00000000" w:rsidRPr="00000000">
        <w:rPr>
          <w:rFonts w:ascii="Montserrat Medium" w:cs="Montserrat Medium" w:eastAsia="Montserrat Medium" w:hAnsi="Montserrat Medium"/>
          <w:b w:val="1"/>
          <w:sz w:val="22"/>
          <w:szCs w:val="22"/>
          <w:vertAlign w:val="superscript"/>
        </w:rPr>
        <w:footnoteReference w:customMarkFollows="0" w:id="7"/>
      </w:r>
      <w:r w:rsidDel="00000000" w:rsidR="00000000" w:rsidRPr="00000000">
        <w:rPr>
          <w:rFonts w:ascii="Montserrat Medium" w:cs="Montserrat Medium" w:eastAsia="Montserrat Medium" w:hAnsi="Montserrat Medium"/>
          <w:sz w:val="22"/>
          <w:szCs w:val="22"/>
          <w:rtl w:val="0"/>
        </w:rPr>
        <w:t xml:space="preserve"> (see explanatory note)</w:t>
      </w:r>
    </w:p>
    <w:p w:rsidR="00000000" w:rsidDel="00000000" w:rsidP="00000000" w:rsidRDefault="00000000" w:rsidRPr="00000000" w14:paraId="0000006D">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tbl>
      <w:tblPr>
        <w:tblStyle w:val="Table5"/>
        <w:tblW w:w="8505.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978"/>
        <w:gridCol w:w="2410"/>
        <w:gridCol w:w="1559"/>
        <w:gridCol w:w="1558"/>
        <w:tblGridChange w:id="0">
          <w:tblGrid>
            <w:gridCol w:w="2978"/>
            <w:gridCol w:w="2410"/>
            <w:gridCol w:w="1559"/>
            <w:gridCol w:w="1558"/>
          </w:tblGrid>
        </w:tblGridChange>
      </w:tblGrid>
      <w:tr>
        <w:trPr>
          <w:cantSplit w:val="0"/>
          <w:tblHeader w:val="0"/>
        </w:trPr>
        <w:tc>
          <w:tcPr>
            <w:gridSpan w:val="2"/>
            <w:tcBorders>
              <w:top w:color="000000" w:space="0" w:sz="18" w:val="single"/>
              <w:right w:color="6e7c95" w:space="0" w:sz="4" w:val="single"/>
            </w:tcBorders>
            <w:shd w:fill="008f4a" w:val="clear"/>
          </w:tcPr>
          <w:p w:rsidR="00000000" w:rsidDel="00000000" w:rsidP="00000000" w:rsidRDefault="00000000" w:rsidRPr="00000000" w14:paraId="0000006E">
            <w:pPr>
              <w:widowControl w:val="0"/>
              <w:spacing w:after="40" w:before="40" w:line="240" w:lineRule="auto"/>
              <w:jc w:val="left"/>
              <w:rPr>
                <w:rFonts w:ascii="Montserrat Medium" w:cs="Montserrat Medium" w:eastAsia="Montserrat Medium" w:hAnsi="Montserrat Medium"/>
                <w:color w:val="f6f6f6"/>
              </w:rPr>
            </w:pPr>
            <w:bookmarkStart w:colFirst="0" w:colLast="0" w:name="_heading=h.139hejnq8zzm" w:id="3"/>
            <w:bookmarkEnd w:id="3"/>
            <w:r w:rsidDel="00000000" w:rsidR="00000000" w:rsidRPr="00000000">
              <w:rPr>
                <w:rFonts w:ascii="Montserrat Medium" w:cs="Montserrat Medium" w:eastAsia="Montserrat Medium" w:hAnsi="Montserrat Medium"/>
                <w:color w:val="f6f6f6"/>
                <w:rtl w:val="0"/>
              </w:rPr>
              <w:t xml:space="preserve">Reference period</w:t>
            </w:r>
            <w:r w:rsidDel="00000000" w:rsidR="00000000" w:rsidRPr="00000000">
              <w:rPr>
                <w:rFonts w:ascii="Montserrat Medium" w:cs="Montserrat Medium" w:eastAsia="Montserrat Medium" w:hAnsi="Montserrat Medium"/>
                <w:color w:val="f6f6f6"/>
                <w:vertAlign w:val="superscript"/>
              </w:rPr>
              <w:footnoteReference w:customMarkFollows="0" w:id="8"/>
            </w:r>
            <w:r w:rsidDel="00000000" w:rsidR="00000000" w:rsidRPr="00000000">
              <w:rPr>
                <w:rFonts w:ascii="Montserrat Medium" w:cs="Montserrat Medium" w:eastAsia="Montserrat Medium" w:hAnsi="Montserrat Medium"/>
                <w:color w:val="f6f6f6"/>
                <w:rtl w:val="0"/>
              </w:rPr>
              <w:t xml:space="preserve">:</w:t>
            </w:r>
          </w:p>
        </w:tc>
        <w:tc>
          <w:tcPr>
            <w:gridSpan w:val="2"/>
            <w:tcBorders>
              <w:top w:color="000000" w:space="0" w:sz="18" w:val="single"/>
              <w:left w:color="6e7c95" w:space="0" w:sz="4" w:val="single"/>
            </w:tcBorders>
            <w:shd w:fill="008f4a" w:val="clear"/>
          </w:tcPr>
          <w:p w:rsidR="00000000" w:rsidDel="00000000" w:rsidP="00000000" w:rsidRDefault="00000000" w:rsidRPr="00000000" w14:paraId="00000070">
            <w:pPr>
              <w:widowControl w:val="0"/>
              <w:spacing w:after="40" w:before="40" w:line="240" w:lineRule="auto"/>
              <w:jc w:val="left"/>
              <w:rPr>
                <w:rFonts w:ascii="Montserrat Medium" w:cs="Montserrat Medium" w:eastAsia="Montserrat Medium" w:hAnsi="Montserrat Medium"/>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72">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3">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Headcount (AWU)</w:t>
            </w:r>
          </w:p>
        </w:tc>
        <w:tc>
          <w:tcPr>
            <w:tcBorders>
              <w:left w:color="6e7c95" w:space="0" w:sz="4" w:val="single"/>
              <w:right w:color="6e7c95" w:space="0" w:sz="4" w:val="single"/>
            </w:tcBorders>
          </w:tcPr>
          <w:p w:rsidR="00000000" w:rsidDel="00000000" w:rsidP="00000000" w:rsidRDefault="00000000" w:rsidRPr="00000000" w14:paraId="00000074">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Annual turnover (*)</w:t>
            </w:r>
          </w:p>
        </w:tc>
        <w:tc>
          <w:tcPr>
            <w:tcBorders>
              <w:left w:color="6e7c95" w:space="0" w:sz="4" w:val="single"/>
              <w:bottom w:color="000000" w:space="0" w:sz="4" w:val="single"/>
            </w:tcBorders>
          </w:tcPr>
          <w:p w:rsidR="00000000" w:rsidDel="00000000" w:rsidP="00000000" w:rsidRDefault="00000000" w:rsidRPr="00000000" w14:paraId="00000075">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Balance sheet total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76">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1. Data</w:t>
            </w:r>
            <w:r w:rsidDel="00000000" w:rsidR="00000000" w:rsidRPr="00000000">
              <w:rPr>
                <w:rFonts w:ascii="Montserrat Medium" w:cs="Montserrat Medium" w:eastAsia="Montserrat Medium" w:hAnsi="Montserrat Medium"/>
                <w:sz w:val="22"/>
                <w:szCs w:val="22"/>
                <w:vertAlign w:val="superscript"/>
                <w:rtl w:val="0"/>
              </w:rPr>
              <w:t xml:space="preserve">9</w:t>
            </w:r>
            <w:r w:rsidDel="00000000" w:rsidR="00000000" w:rsidRPr="00000000">
              <w:rPr>
                <w:rFonts w:ascii="Montserrat Medium" w:cs="Montserrat Medium" w:eastAsia="Montserrat Medium" w:hAnsi="Montserrat Medium"/>
                <w:sz w:val="22"/>
                <w:szCs w:val="22"/>
                <w:rtl w:val="0"/>
              </w:rPr>
              <w:t xml:space="preserve"> of the applicant enterprise or consolidated accounts (copy data from box B(1) in annex B</w:t>
            </w:r>
            <w:r w:rsidDel="00000000" w:rsidR="00000000" w:rsidRPr="00000000">
              <w:rPr>
                <w:rFonts w:ascii="Montserrat Medium" w:cs="Montserrat Medium" w:eastAsia="Montserrat Medium" w:hAnsi="Montserrat Medium"/>
                <w:sz w:val="22"/>
                <w:szCs w:val="22"/>
                <w:vertAlign w:val="superscript"/>
              </w:rPr>
              <w:footnoteReference w:customMarkFollows="0" w:id="9"/>
            </w:r>
            <w:r w:rsidDel="00000000" w:rsidR="00000000" w:rsidRPr="00000000">
              <w:rPr>
                <w:rFonts w:ascii="Montserrat Medium" w:cs="Montserrat Medium" w:eastAsia="Montserrat Medium" w:hAnsi="Montserrat Medium"/>
                <w:sz w:val="22"/>
                <w:szCs w:val="22"/>
                <w:rtl w:val="0"/>
              </w:rPr>
              <w:t xml:space="preserve">)</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7">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8">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079">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7A">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2. Proportionally aggregated data</w:t>
            </w:r>
            <w:r w:rsidDel="00000000" w:rsidR="00000000" w:rsidRPr="00000000">
              <w:rPr>
                <w:rFonts w:ascii="Montserrat Medium" w:cs="Montserrat Medium" w:eastAsia="Montserrat Medium" w:hAnsi="Montserrat Medium"/>
                <w:sz w:val="22"/>
                <w:szCs w:val="22"/>
                <w:vertAlign w:val="superscript"/>
                <w:rtl w:val="0"/>
              </w:rPr>
              <w:t xml:space="preserve">9</w:t>
            </w:r>
            <w:r w:rsidDel="00000000" w:rsidR="00000000" w:rsidRPr="00000000">
              <w:rPr>
                <w:rFonts w:ascii="Montserrat Medium" w:cs="Montserrat Medium" w:eastAsia="Montserrat Medium" w:hAnsi="Montserrat Medium"/>
                <w:sz w:val="22"/>
                <w:szCs w:val="22"/>
                <w:rtl w:val="0"/>
              </w:rPr>
              <w:t xml:space="preserve"> of all partner enterprises (if any) (copy data from box A in annex A)</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B">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C">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07D">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7E">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3. Added up data</w:t>
            </w:r>
            <w:r w:rsidDel="00000000" w:rsidR="00000000" w:rsidRPr="00000000">
              <w:rPr>
                <w:rFonts w:ascii="Montserrat Medium" w:cs="Montserrat Medium" w:eastAsia="Montserrat Medium" w:hAnsi="Montserrat Medium"/>
                <w:sz w:val="22"/>
                <w:szCs w:val="22"/>
                <w:vertAlign w:val="superscript"/>
                <w:rtl w:val="0"/>
              </w:rPr>
              <w:t xml:space="preserve">9</w:t>
            </w:r>
            <w:r w:rsidDel="00000000" w:rsidR="00000000" w:rsidRPr="00000000">
              <w:rPr>
                <w:rFonts w:ascii="Montserrat Medium" w:cs="Montserrat Medium" w:eastAsia="Montserrat Medium" w:hAnsi="Montserrat Medium"/>
                <w:sz w:val="22"/>
                <w:szCs w:val="22"/>
                <w:rtl w:val="0"/>
              </w:rPr>
              <w:t xml:space="preserve"> of all linked enterprises (if any) – if not included by consolidation in line 1 (copy data from box B(2) in annex B)</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7F">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80">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081">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rHeight w:val="415" w:hRule="atLeast"/>
          <w:tblHeader w:val="0"/>
        </w:trPr>
        <w:tc>
          <w:tcPr>
            <w:tcBorders>
              <w:bottom w:color="000000" w:space="0" w:sz="4" w:val="single"/>
              <w:right w:color="6e7c95" w:space="0" w:sz="4" w:val="single"/>
            </w:tcBorders>
            <w:vAlign w:val="center"/>
          </w:tcPr>
          <w:p w:rsidR="00000000" w:rsidDel="00000000" w:rsidP="00000000" w:rsidRDefault="00000000" w:rsidRPr="00000000" w14:paraId="00000082">
            <w:pPr>
              <w:widowControl w:val="0"/>
              <w:spacing w:after="40" w:before="40" w:line="240" w:lineRule="auto"/>
              <w:jc w:val="righ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Total</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83">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84">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085">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gridSpan w:val="2"/>
            <w:tcBorders>
              <w:right w:color="6e7c95" w:space="0" w:sz="4" w:val="single"/>
            </w:tcBorders>
          </w:tcPr>
          <w:p w:rsidR="00000000" w:rsidDel="00000000" w:rsidP="00000000" w:rsidRDefault="00000000" w:rsidRPr="00000000" w14:paraId="00000086">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 EUR 1 000.</w:t>
            </w:r>
          </w:p>
        </w:tc>
        <w:tc>
          <w:tcPr>
            <w:gridSpan w:val="2"/>
            <w:tcBorders>
              <w:left w:color="6e7c95" w:space="0" w:sz="4" w:val="single"/>
            </w:tcBorders>
          </w:tcPr>
          <w:p w:rsidR="00000000" w:rsidDel="00000000" w:rsidP="00000000" w:rsidRDefault="00000000" w:rsidRPr="00000000" w14:paraId="00000088">
            <w:pPr>
              <w:widowControl w:val="0"/>
              <w:spacing w:after="40" w:before="40" w:line="240" w:lineRule="auto"/>
              <w:jc w:val="left"/>
              <w:rPr>
                <w:rFonts w:ascii="Montserrat Medium" w:cs="Montserrat Medium" w:eastAsia="Montserrat Medium" w:hAnsi="Montserrat Medium"/>
                <w:sz w:val="22"/>
                <w:szCs w:val="22"/>
              </w:rPr>
            </w:pPr>
            <w:r w:rsidDel="00000000" w:rsidR="00000000" w:rsidRPr="00000000">
              <w:rPr>
                <w:rtl w:val="0"/>
              </w:rPr>
            </w:r>
          </w:p>
        </w:tc>
      </w:tr>
    </w:tbl>
    <w:p w:rsidR="00000000" w:rsidDel="00000000" w:rsidP="00000000" w:rsidRDefault="00000000" w:rsidRPr="00000000" w14:paraId="0000008A">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8B">
      <w:pPr>
        <w:spacing w:after="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b w:val="1"/>
          <w:sz w:val="22"/>
          <w:szCs w:val="22"/>
          <w:rtl w:val="0"/>
        </w:rPr>
        <w:t xml:space="preserve">NOTE</w:t>
      </w:r>
      <w:r w:rsidDel="00000000" w:rsidR="00000000" w:rsidRPr="00000000">
        <w:rPr>
          <w:rFonts w:ascii="Montserrat Medium" w:cs="Montserrat Medium" w:eastAsia="Montserrat Medium" w:hAnsi="Montserrat Medium"/>
          <w:sz w:val="22"/>
          <w:szCs w:val="22"/>
          <w:rtl w:val="0"/>
        </w:rPr>
        <w:t xml:space="preserve">: The data entered in the "Total" row of the above table should be entered in the box “Data used to determine the category of enterprise” in the declaration.</w:t>
      </w:r>
    </w:p>
    <w:p w:rsidR="00000000" w:rsidDel="00000000" w:rsidP="00000000" w:rsidRDefault="00000000" w:rsidRPr="00000000" w14:paraId="0000008C">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8D">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8E">
      <w:pPr>
        <w:spacing w:after="0" w:line="259" w:lineRule="auto"/>
        <w:jc w:val="left"/>
        <w:rPr>
          <w:rFonts w:ascii="Montserrat Medium" w:cs="Montserrat Medium" w:eastAsia="Montserrat Medium" w:hAnsi="Montserrat Medium"/>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8F">
      <w:pPr>
        <w:pStyle w:val="Heading2"/>
        <w:keepNext w:val="1"/>
        <w:keepLines w:val="1"/>
        <w:shd w:fill="auto" w:val="clear"/>
        <w:spacing w:before="0" w:line="259" w:lineRule="auto"/>
        <w:ind w:left="0" w:firstLine="0"/>
        <w:jc w:val="center"/>
        <w:rPr>
          <w:rFonts w:ascii="Montserrat Medium" w:cs="Montserrat Medium" w:eastAsia="Montserrat Medium" w:hAnsi="Montserrat Medium"/>
          <w:sz w:val="26"/>
          <w:szCs w:val="26"/>
        </w:rPr>
      </w:pPr>
      <w:r w:rsidDel="00000000" w:rsidR="00000000" w:rsidRPr="00000000">
        <w:rPr>
          <w:rFonts w:ascii="Montserrat Medium" w:cs="Montserrat Medium" w:eastAsia="Montserrat Medium" w:hAnsi="Montserrat Medium"/>
          <w:sz w:val="26"/>
          <w:szCs w:val="26"/>
          <w:rtl w:val="0"/>
        </w:rPr>
        <w:t xml:space="preserve">ANNEX A</w:t>
        <w:br w:type="textWrapping"/>
        <w:t xml:space="preserve">Partner enterprises</w:t>
      </w:r>
    </w:p>
    <w:p w:rsidR="00000000" w:rsidDel="00000000" w:rsidP="00000000" w:rsidRDefault="00000000" w:rsidRPr="00000000" w14:paraId="00000090">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91">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For each enterprise for which a ‘partnership sheet’ has been completed (one sheet for each partner enterprise of the applicant enterprise and for any partner enterprises of any linked enterprise, of which the data is not yet included in the consolidated accounts of that linked enterprise), the data in the ‘partnership box’ in question should be entered in the summary table below:</w:t>
      </w:r>
    </w:p>
    <w:p w:rsidR="00000000" w:rsidDel="00000000" w:rsidP="00000000" w:rsidRDefault="00000000" w:rsidRPr="00000000" w14:paraId="00000092">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93">
      <w:pPr>
        <w:spacing w:after="0" w:line="259" w:lineRule="auto"/>
        <w:jc w:val="center"/>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BOX A</w:t>
      </w:r>
    </w:p>
    <w:p w:rsidR="00000000" w:rsidDel="00000000" w:rsidP="00000000" w:rsidRDefault="00000000" w:rsidRPr="00000000" w14:paraId="00000094">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tbl>
      <w:tblPr>
        <w:tblStyle w:val="Table6"/>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686"/>
        <w:gridCol w:w="2181"/>
        <w:gridCol w:w="2220"/>
        <w:gridCol w:w="1985"/>
        <w:tblGridChange w:id="0">
          <w:tblGrid>
            <w:gridCol w:w="2686"/>
            <w:gridCol w:w="2181"/>
            <w:gridCol w:w="2220"/>
            <w:gridCol w:w="1985"/>
          </w:tblGrid>
        </w:tblGridChange>
      </w:tblGrid>
      <w:tr>
        <w:trPr>
          <w:cantSplit w:val="0"/>
          <w:tblHeader w:val="0"/>
        </w:trPr>
        <w:tc>
          <w:tcPr>
            <w:tcBorders>
              <w:bottom w:color="000000" w:space="0" w:sz="4" w:val="single"/>
              <w:right w:color="6e7c95" w:space="0" w:sz="4" w:val="single"/>
            </w:tcBorders>
            <w:shd w:fill="008f4a" w:val="clear"/>
            <w:vAlign w:val="center"/>
          </w:tcPr>
          <w:p w:rsidR="00000000" w:rsidDel="00000000" w:rsidP="00000000" w:rsidRDefault="00000000" w:rsidRPr="00000000" w14:paraId="00000095">
            <w:pPr>
              <w:widowControl w:val="0"/>
              <w:spacing w:after="40" w:before="40" w:line="259" w:lineRule="auto"/>
              <w:jc w:val="left"/>
              <w:rPr>
                <w:rFonts w:ascii="Montserrat Medium" w:cs="Montserrat Medium" w:eastAsia="Montserrat Medium" w:hAnsi="Montserrat Medium"/>
                <w:b w:val="1"/>
                <w:color w:val="f6f6f6"/>
              </w:rPr>
            </w:pPr>
            <w:r w:rsidDel="00000000" w:rsidR="00000000" w:rsidRPr="00000000">
              <w:rPr>
                <w:rFonts w:ascii="Montserrat Medium" w:cs="Montserrat Medium" w:eastAsia="Montserrat Medium" w:hAnsi="Montserrat Medium"/>
                <w:b w:val="1"/>
                <w:color w:val="f6f6f6"/>
                <w:rtl w:val="0"/>
              </w:rPr>
              <w:t xml:space="preserve">Partner enterprise </w:t>
            </w:r>
          </w:p>
          <w:p w:rsidR="00000000" w:rsidDel="00000000" w:rsidP="00000000" w:rsidRDefault="00000000" w:rsidRPr="00000000" w14:paraId="00000096">
            <w:pPr>
              <w:widowControl w:val="0"/>
              <w:spacing w:after="40" w:before="40" w:line="259" w:lineRule="auto"/>
              <w:jc w:val="left"/>
              <w:rPr>
                <w:rFonts w:ascii="Montserrat Medium" w:cs="Montserrat Medium" w:eastAsia="Montserrat Medium" w:hAnsi="Montserrat Medium"/>
                <w:color w:val="f6f6f6"/>
              </w:rPr>
            </w:pPr>
            <w:r w:rsidDel="00000000" w:rsidR="00000000" w:rsidRPr="00000000">
              <w:rPr>
                <w:rFonts w:ascii="Montserrat Medium" w:cs="Montserrat Medium" w:eastAsia="Montserrat Medium" w:hAnsi="Montserrat Medium"/>
                <w:color w:val="f6f6f6"/>
                <w:rtl w:val="0"/>
              </w:rPr>
              <w:t xml:space="preserve">(name / identification)</w:t>
            </w:r>
          </w:p>
        </w:tc>
        <w:tc>
          <w:tcPr>
            <w:tcBorders>
              <w:left w:color="6e7c95" w:space="0" w:sz="4" w:val="single"/>
              <w:bottom w:color="000000" w:space="0" w:sz="4" w:val="single"/>
              <w:right w:color="6e7c95" w:space="0" w:sz="4" w:val="single"/>
            </w:tcBorders>
            <w:shd w:fill="008f4a" w:val="clear"/>
            <w:vAlign w:val="center"/>
          </w:tcPr>
          <w:p w:rsidR="00000000" w:rsidDel="00000000" w:rsidP="00000000" w:rsidRDefault="00000000" w:rsidRPr="00000000" w14:paraId="00000097">
            <w:pPr>
              <w:widowControl w:val="0"/>
              <w:spacing w:after="40" w:before="40" w:line="259" w:lineRule="auto"/>
              <w:jc w:val="left"/>
              <w:rPr>
                <w:rFonts w:ascii="Montserrat Medium" w:cs="Montserrat Medium" w:eastAsia="Montserrat Medium" w:hAnsi="Montserrat Medium"/>
                <w:b w:val="0"/>
                <w:color w:val="f6f6f6"/>
              </w:rPr>
            </w:pPr>
            <w:r w:rsidDel="00000000" w:rsidR="00000000" w:rsidRPr="00000000">
              <w:rPr>
                <w:rFonts w:ascii="Montserrat Medium" w:cs="Montserrat Medium" w:eastAsia="Montserrat Medium" w:hAnsi="Montserrat Medium"/>
                <w:color w:val="f6f6f6"/>
                <w:rtl w:val="0"/>
              </w:rPr>
              <w:t xml:space="preserve">Headcount (AWU)</w:t>
            </w:r>
            <w:r w:rsidDel="00000000" w:rsidR="00000000" w:rsidRPr="00000000">
              <w:rPr>
                <w:rtl w:val="0"/>
              </w:rPr>
            </w:r>
          </w:p>
        </w:tc>
        <w:tc>
          <w:tcPr>
            <w:tcBorders>
              <w:left w:color="6e7c95" w:space="0" w:sz="4" w:val="single"/>
              <w:right w:color="6e7c95" w:space="0" w:sz="4" w:val="single"/>
            </w:tcBorders>
            <w:shd w:fill="008f4a" w:val="clear"/>
            <w:vAlign w:val="center"/>
          </w:tcPr>
          <w:p w:rsidR="00000000" w:rsidDel="00000000" w:rsidP="00000000" w:rsidRDefault="00000000" w:rsidRPr="00000000" w14:paraId="00000098">
            <w:pPr>
              <w:widowControl w:val="0"/>
              <w:spacing w:after="40" w:before="40" w:line="259" w:lineRule="auto"/>
              <w:jc w:val="left"/>
              <w:rPr>
                <w:rFonts w:ascii="Montserrat Medium" w:cs="Montserrat Medium" w:eastAsia="Montserrat Medium" w:hAnsi="Montserrat Medium"/>
                <w:b w:val="0"/>
                <w:color w:val="f6f6f6"/>
              </w:rPr>
            </w:pPr>
            <w:r w:rsidDel="00000000" w:rsidR="00000000" w:rsidRPr="00000000">
              <w:rPr>
                <w:rFonts w:ascii="Montserrat Medium" w:cs="Montserrat Medium" w:eastAsia="Montserrat Medium" w:hAnsi="Montserrat Medium"/>
                <w:color w:val="f6f6f6"/>
                <w:rtl w:val="0"/>
              </w:rPr>
              <w:t xml:space="preserve">Annual turnover (*)</w:t>
            </w:r>
            <w:r w:rsidDel="00000000" w:rsidR="00000000" w:rsidRPr="00000000">
              <w:rPr>
                <w:rtl w:val="0"/>
              </w:rPr>
            </w:r>
          </w:p>
        </w:tc>
        <w:tc>
          <w:tcPr>
            <w:tcBorders>
              <w:left w:color="6e7c95" w:space="0" w:sz="4" w:val="single"/>
              <w:bottom w:color="000000" w:space="0" w:sz="4" w:val="single"/>
            </w:tcBorders>
            <w:shd w:fill="008f4a" w:val="clear"/>
            <w:vAlign w:val="center"/>
          </w:tcPr>
          <w:p w:rsidR="00000000" w:rsidDel="00000000" w:rsidP="00000000" w:rsidRDefault="00000000" w:rsidRPr="00000000" w14:paraId="00000099">
            <w:pPr>
              <w:widowControl w:val="0"/>
              <w:spacing w:after="40" w:before="40" w:line="259" w:lineRule="auto"/>
              <w:jc w:val="left"/>
              <w:rPr>
                <w:rFonts w:ascii="Montserrat Medium" w:cs="Montserrat Medium" w:eastAsia="Montserrat Medium" w:hAnsi="Montserrat Medium"/>
                <w:b w:val="0"/>
                <w:color w:val="f6f6f6"/>
              </w:rPr>
            </w:pPr>
            <w:r w:rsidDel="00000000" w:rsidR="00000000" w:rsidRPr="00000000">
              <w:rPr>
                <w:rFonts w:ascii="Montserrat Medium" w:cs="Montserrat Medium" w:eastAsia="Montserrat Medium" w:hAnsi="Montserrat Medium"/>
                <w:color w:val="f6f6f6"/>
                <w:rtl w:val="0"/>
              </w:rPr>
              <w:t xml:space="preserve">Balance sheet total (*)</w:t>
            </w: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9A">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1.</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9B">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9C">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9D">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9E">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2.</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9F">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0">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A1">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A2">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3.</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3">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4">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A5">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A6">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4.</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7">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8">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A9">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AA">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5.</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B">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C">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AD">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AE">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6.</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AF">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B0">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B1">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0B2">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7.</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B3">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B4">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B5">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rHeight w:val="415" w:hRule="atLeast"/>
          <w:tblHeader w:val="0"/>
        </w:trPr>
        <w:tc>
          <w:tcPr>
            <w:tcBorders>
              <w:bottom w:color="000000" w:space="0" w:sz="4" w:val="single"/>
              <w:right w:color="6e7c95" w:space="0" w:sz="4" w:val="single"/>
            </w:tcBorders>
            <w:vAlign w:val="center"/>
          </w:tcPr>
          <w:p w:rsidR="00000000" w:rsidDel="00000000" w:rsidP="00000000" w:rsidRDefault="00000000" w:rsidRPr="00000000" w14:paraId="000000B6">
            <w:pPr>
              <w:widowControl w:val="0"/>
              <w:spacing w:after="40" w:before="40" w:line="259" w:lineRule="auto"/>
              <w:jc w:val="righ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Total</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B7">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0B8">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0B9">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r>
        <w:trPr>
          <w:cantSplit w:val="0"/>
          <w:tblHeader w:val="0"/>
        </w:trPr>
        <w:tc>
          <w:tcPr>
            <w:gridSpan w:val="2"/>
            <w:tcBorders>
              <w:right w:color="6e7c95" w:space="0" w:sz="4" w:val="single"/>
            </w:tcBorders>
            <w:vAlign w:val="center"/>
          </w:tcPr>
          <w:p w:rsidR="00000000" w:rsidDel="00000000" w:rsidP="00000000" w:rsidRDefault="00000000" w:rsidRPr="00000000" w14:paraId="000000BA">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 EUR 1 000.</w:t>
            </w:r>
          </w:p>
        </w:tc>
        <w:tc>
          <w:tcPr>
            <w:gridSpan w:val="2"/>
            <w:tcBorders>
              <w:left w:color="6e7c95" w:space="0" w:sz="4" w:val="single"/>
            </w:tcBorders>
            <w:vAlign w:val="center"/>
          </w:tcPr>
          <w:p w:rsidR="00000000" w:rsidDel="00000000" w:rsidP="00000000" w:rsidRDefault="00000000" w:rsidRPr="00000000" w14:paraId="000000BC">
            <w:pPr>
              <w:widowControl w:val="0"/>
              <w:spacing w:after="40" w:before="40" w:line="259" w:lineRule="auto"/>
              <w:jc w:val="left"/>
              <w:rPr>
                <w:rFonts w:ascii="Montserrat Medium" w:cs="Montserrat Medium" w:eastAsia="Montserrat Medium" w:hAnsi="Montserrat Medium"/>
                <w:sz w:val="22"/>
                <w:szCs w:val="22"/>
              </w:rPr>
            </w:pPr>
            <w:r w:rsidDel="00000000" w:rsidR="00000000" w:rsidRPr="00000000">
              <w:rPr>
                <w:rtl w:val="0"/>
              </w:rPr>
            </w:r>
          </w:p>
        </w:tc>
      </w:tr>
    </w:tbl>
    <w:p w:rsidR="00000000" w:rsidDel="00000000" w:rsidP="00000000" w:rsidRDefault="00000000" w:rsidRPr="00000000" w14:paraId="000000BE">
      <w:pPr>
        <w:spacing w:after="0" w:line="259" w:lineRule="auto"/>
        <w:jc w:val="left"/>
        <w:rPr>
          <w:rFonts w:ascii="Montserrat Medium" w:cs="Montserrat Medium" w:eastAsia="Montserrat Medium" w:hAnsi="Montserrat Medium"/>
          <w:i w:val="1"/>
        </w:rPr>
      </w:pPr>
      <w:r w:rsidDel="00000000" w:rsidR="00000000" w:rsidRPr="00000000">
        <w:rPr>
          <w:rFonts w:ascii="Montserrat Medium" w:cs="Montserrat Medium" w:eastAsia="Montserrat Medium" w:hAnsi="Montserrat Medium"/>
          <w:i w:val="1"/>
          <w:rtl w:val="0"/>
        </w:rPr>
        <w:t xml:space="preserve">(attach sheets or expand the present table, if necessary)</w:t>
      </w:r>
    </w:p>
    <w:p w:rsidR="00000000" w:rsidDel="00000000" w:rsidP="00000000" w:rsidRDefault="00000000" w:rsidRPr="00000000" w14:paraId="000000BF">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C0">
      <w:pPr>
        <w:spacing w:after="160" w:line="259" w:lineRule="auto"/>
        <w:jc w:val="left"/>
        <w:rPr>
          <w:rFonts w:ascii="Montserrat Medium" w:cs="Montserrat Medium" w:eastAsia="Montserrat Medium" w:hAnsi="Montserrat Medium"/>
          <w:b w:val="1"/>
          <w:sz w:val="22"/>
          <w:szCs w:val="22"/>
        </w:rPr>
      </w:pPr>
      <w:r w:rsidDel="00000000" w:rsidR="00000000" w:rsidRPr="00000000">
        <w:rPr>
          <w:rFonts w:ascii="Montserrat Medium" w:cs="Montserrat Medium" w:eastAsia="Montserrat Medium" w:hAnsi="Montserrat Medium"/>
          <w:b w:val="1"/>
          <w:sz w:val="22"/>
          <w:szCs w:val="22"/>
          <w:rtl w:val="0"/>
        </w:rPr>
        <w:t xml:space="preserve">Reminder:</w:t>
      </w:r>
    </w:p>
    <w:p w:rsidR="00000000" w:rsidDel="00000000" w:rsidP="00000000" w:rsidRDefault="00000000" w:rsidRPr="00000000" w14:paraId="000000C1">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This data is the result of a proportional calculation done on the ‘partnership sheet’ for each direct or indirect partner enterprise.</w:t>
      </w:r>
    </w:p>
    <w:p w:rsidR="00000000" w:rsidDel="00000000" w:rsidP="00000000" w:rsidRDefault="00000000" w:rsidRPr="00000000" w14:paraId="000000C2">
      <w:pPr>
        <w:spacing w:after="160" w:line="259" w:lineRule="auto"/>
        <w:jc w:val="left"/>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The data entered in the "Total" row of the above table should be entered in line 2 (regarding partner enterprises) of the table in the Annex to the declaration.</w:t>
      </w:r>
    </w:p>
    <w:p w:rsidR="00000000" w:rsidDel="00000000" w:rsidP="00000000" w:rsidRDefault="00000000" w:rsidRPr="00000000" w14:paraId="000000C3">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C4">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C5">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C6">
      <w:pPr>
        <w:spacing w:line="259" w:lineRule="auto"/>
        <w:jc w:val="left"/>
        <w:rPr>
          <w:rFonts w:ascii="Montserrat Medium" w:cs="Montserrat Medium" w:eastAsia="Montserrat Medium" w:hAnsi="Montserrat Medium"/>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C7">
      <w:pPr>
        <w:pStyle w:val="Heading2"/>
        <w:keepNext w:val="1"/>
        <w:keepLines w:val="1"/>
        <w:shd w:fill="auto" w:val="clear"/>
        <w:spacing w:before="0" w:line="259" w:lineRule="auto"/>
        <w:ind w:left="576" w:hanging="576"/>
        <w:jc w:val="center"/>
        <w:rPr>
          <w:sz w:val="22"/>
          <w:szCs w:val="22"/>
        </w:rPr>
      </w:pPr>
      <w:r w:rsidDel="00000000" w:rsidR="00000000" w:rsidRPr="00000000">
        <w:rPr>
          <w:sz w:val="22"/>
          <w:szCs w:val="22"/>
          <w:rtl w:val="0"/>
        </w:rPr>
        <w:t xml:space="preserve">PARTNERSHIP SHEET</w:t>
      </w:r>
    </w:p>
    <w:p w:rsidR="00000000" w:rsidDel="00000000" w:rsidP="00000000" w:rsidRDefault="00000000" w:rsidRPr="00000000" w14:paraId="000000C8">
      <w:pPr>
        <w:spacing w:after="0" w:line="259" w:lineRule="auto"/>
        <w:jc w:val="left"/>
        <w:rPr>
          <w:rFonts w:ascii="Poppins Medium" w:cs="Poppins Medium" w:eastAsia="Poppins Medium" w:hAnsi="Poppins Medium"/>
          <w:sz w:val="22"/>
          <w:szCs w:val="22"/>
        </w:rPr>
      </w:pPr>
      <w:r w:rsidDel="00000000" w:rsidR="00000000" w:rsidRPr="00000000">
        <w:rPr>
          <w:rtl w:val="0"/>
        </w:rPr>
      </w:r>
    </w:p>
    <w:p w:rsidR="00000000" w:rsidDel="00000000" w:rsidP="00000000" w:rsidRDefault="00000000" w:rsidRPr="00000000" w14:paraId="000000C9">
      <w:pPr>
        <w:numPr>
          <w:ilvl w:val="0"/>
          <w:numId w:val="3"/>
        </w:numPr>
        <w:spacing w:after="0" w:line="240" w:lineRule="auto"/>
        <w:ind w:left="1440" w:hanging="360"/>
        <w:rPr>
          <w:b w:val="1"/>
          <w:sz w:val="22"/>
          <w:szCs w:val="22"/>
        </w:rPr>
      </w:pPr>
      <w:r w:rsidDel="00000000" w:rsidR="00000000" w:rsidRPr="00000000">
        <w:rPr>
          <w:b w:val="1"/>
          <w:sz w:val="22"/>
          <w:szCs w:val="22"/>
          <w:rtl w:val="0"/>
        </w:rPr>
        <w:t xml:space="preserve">Specific identification of the applicant enterprise</w:t>
      </w:r>
    </w:p>
    <w:p w:rsidR="00000000" w:rsidDel="00000000" w:rsidP="00000000" w:rsidRDefault="00000000" w:rsidRPr="00000000" w14:paraId="000000CA">
      <w:pPr>
        <w:spacing w:after="0" w:line="240" w:lineRule="auto"/>
        <w:jc w:val="left"/>
        <w:rPr>
          <w:b w:val="1"/>
          <w:sz w:val="22"/>
          <w:szCs w:val="22"/>
        </w:rPr>
      </w:pPr>
      <w:r w:rsidDel="00000000" w:rsidR="00000000" w:rsidRPr="00000000">
        <w:rPr>
          <w:rtl w:val="0"/>
        </w:rPr>
      </w:r>
    </w:p>
    <w:tbl>
      <w:tblPr>
        <w:tblStyle w:val="Table7"/>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3784"/>
        <w:gridCol w:w="5288"/>
        <w:tblGridChange w:id="0">
          <w:tblGrid>
            <w:gridCol w:w="3784"/>
            <w:gridCol w:w="5288"/>
          </w:tblGrid>
        </w:tblGridChange>
      </w:tblGrid>
      <w:tr>
        <w:trPr>
          <w:cantSplit w:val="0"/>
          <w:tblHeader w:val="0"/>
        </w:trPr>
        <w:tc>
          <w:tcPr>
            <w:tcBorders>
              <w:right w:color="6e7c95" w:space="0" w:sz="4" w:val="single"/>
            </w:tcBorders>
            <w:shd w:fill="008f4a" w:val="clear"/>
          </w:tcPr>
          <w:p w:rsidR="00000000" w:rsidDel="00000000" w:rsidP="00000000" w:rsidRDefault="00000000" w:rsidRPr="00000000" w14:paraId="000000CB">
            <w:pPr>
              <w:widowControl w:val="0"/>
              <w:spacing w:after="20" w:before="20" w:line="240" w:lineRule="auto"/>
              <w:jc w:val="left"/>
              <w:rPr>
                <w:b w:val="1"/>
                <w:color w:val="f6f6f6"/>
              </w:rPr>
            </w:pPr>
            <w:r w:rsidDel="00000000" w:rsidR="00000000" w:rsidRPr="00000000">
              <w:rPr>
                <w:b w:val="1"/>
                <w:color w:val="f6f6f6"/>
                <w:rtl w:val="0"/>
              </w:rPr>
              <w:t xml:space="preserve">Name or Business Name</w:t>
            </w:r>
          </w:p>
        </w:tc>
        <w:tc>
          <w:tcPr>
            <w:tcBorders>
              <w:left w:color="6e7c95" w:space="0" w:sz="4" w:val="single"/>
            </w:tcBorders>
            <w:shd w:fill="008f4a" w:val="clear"/>
          </w:tcPr>
          <w:p w:rsidR="00000000" w:rsidDel="00000000" w:rsidP="00000000" w:rsidRDefault="00000000" w:rsidRPr="00000000" w14:paraId="000000CC">
            <w:pPr>
              <w:widowControl w:val="0"/>
              <w:spacing w:after="20" w:before="20" w:line="240" w:lineRule="auto"/>
              <w:jc w:val="left"/>
              <w:rPr>
                <w:rFonts w:ascii="Poppins Medium" w:cs="Poppins Medium" w:eastAsia="Poppins Medium" w:hAnsi="Poppins Medium"/>
                <w:b w:val="0"/>
                <w:color w:val="f6f6f6"/>
              </w:rPr>
            </w:pPr>
            <w:r w:rsidDel="00000000" w:rsidR="00000000" w:rsidRPr="00000000">
              <w:rPr>
                <w:color w:val="f6f6f6"/>
                <w:rtl w:val="0"/>
              </w:rPr>
              <w:t xml:space="preserve">______________________________________________</w:t>
            </w:r>
            <w:r w:rsidDel="00000000" w:rsidR="00000000" w:rsidRPr="00000000">
              <w:rPr>
                <w:rtl w:val="0"/>
              </w:rPr>
            </w:r>
          </w:p>
        </w:tc>
      </w:tr>
      <w:tr>
        <w:trPr>
          <w:cantSplit w:val="0"/>
          <w:tblHeader w:val="0"/>
        </w:trPr>
        <w:tc>
          <w:tcPr>
            <w:tcBorders>
              <w:right w:color="6e7c95" w:space="0" w:sz="4" w:val="single"/>
            </w:tcBorders>
          </w:tcPr>
          <w:p w:rsidR="00000000" w:rsidDel="00000000" w:rsidP="00000000" w:rsidRDefault="00000000" w:rsidRPr="00000000" w14:paraId="000000CD">
            <w:pPr>
              <w:widowControl w:val="0"/>
              <w:spacing w:after="20" w:before="20" w:line="240" w:lineRule="auto"/>
              <w:jc w:val="left"/>
              <w:rPr>
                <w:b w:val="1"/>
                <w:sz w:val="22"/>
                <w:szCs w:val="22"/>
              </w:rPr>
            </w:pPr>
            <w:r w:rsidDel="00000000" w:rsidR="00000000" w:rsidRPr="00000000">
              <w:rPr>
                <w:b w:val="1"/>
                <w:sz w:val="22"/>
                <w:szCs w:val="22"/>
                <w:rtl w:val="0"/>
              </w:rPr>
              <w:t xml:space="preserve">Address (or Registered office)</w:t>
            </w:r>
          </w:p>
        </w:tc>
        <w:tc>
          <w:tcPr>
            <w:tcBorders>
              <w:left w:color="6e7c95" w:space="0" w:sz="4" w:val="single"/>
            </w:tcBorders>
          </w:tcPr>
          <w:p w:rsidR="00000000" w:rsidDel="00000000" w:rsidP="00000000" w:rsidRDefault="00000000" w:rsidRPr="00000000" w14:paraId="000000CE">
            <w:pPr>
              <w:widowControl w:val="0"/>
              <w:spacing w:after="20" w:before="20" w:line="240" w:lineRule="auto"/>
              <w:jc w:val="left"/>
              <w:rPr>
                <w:b w:val="1"/>
                <w:sz w:val="22"/>
                <w:szCs w:val="22"/>
              </w:rPr>
            </w:pPr>
            <w:r w:rsidDel="00000000" w:rsidR="00000000" w:rsidRPr="00000000">
              <w:rPr>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0CF">
            <w:pPr>
              <w:widowControl w:val="0"/>
              <w:spacing w:after="20" w:before="20" w:line="240" w:lineRule="auto"/>
              <w:jc w:val="left"/>
              <w:rPr>
                <w:b w:val="1"/>
                <w:sz w:val="22"/>
                <w:szCs w:val="22"/>
              </w:rPr>
            </w:pPr>
            <w:r w:rsidDel="00000000" w:rsidR="00000000" w:rsidRPr="00000000">
              <w:rPr>
                <w:b w:val="1"/>
                <w:sz w:val="22"/>
                <w:szCs w:val="22"/>
                <w:rtl w:val="0"/>
              </w:rPr>
              <w:t xml:space="preserve">Registration/ VAT number</w:t>
            </w:r>
            <w:r w:rsidDel="00000000" w:rsidR="00000000" w:rsidRPr="00000000">
              <w:rPr>
                <w:b w:val="1"/>
                <w:sz w:val="22"/>
                <w:szCs w:val="22"/>
                <w:vertAlign w:val="superscript"/>
              </w:rPr>
              <w:footnoteReference w:customMarkFollows="0" w:id="10"/>
            </w:r>
            <w:r w:rsidDel="00000000" w:rsidR="00000000" w:rsidRPr="00000000">
              <w:rPr>
                <w:rtl w:val="0"/>
              </w:rPr>
            </w:r>
          </w:p>
        </w:tc>
        <w:tc>
          <w:tcPr>
            <w:tcBorders>
              <w:left w:color="6e7c95" w:space="0" w:sz="4" w:val="single"/>
            </w:tcBorders>
          </w:tcPr>
          <w:p w:rsidR="00000000" w:rsidDel="00000000" w:rsidP="00000000" w:rsidRDefault="00000000" w:rsidRPr="00000000" w14:paraId="000000D0">
            <w:pPr>
              <w:widowControl w:val="0"/>
              <w:spacing w:after="20" w:before="20" w:line="240" w:lineRule="auto"/>
              <w:jc w:val="left"/>
              <w:rPr>
                <w:b w:val="1"/>
                <w:sz w:val="22"/>
                <w:szCs w:val="22"/>
              </w:rPr>
            </w:pPr>
            <w:r w:rsidDel="00000000" w:rsidR="00000000" w:rsidRPr="00000000">
              <w:rPr>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0D1">
            <w:pPr>
              <w:widowControl w:val="0"/>
              <w:spacing w:after="20" w:before="20" w:line="240" w:lineRule="auto"/>
              <w:jc w:val="left"/>
              <w:rPr>
                <w:b w:val="1"/>
                <w:sz w:val="22"/>
                <w:szCs w:val="22"/>
              </w:rPr>
            </w:pPr>
            <w:r w:rsidDel="00000000" w:rsidR="00000000" w:rsidRPr="00000000">
              <w:rPr>
                <w:b w:val="1"/>
                <w:sz w:val="22"/>
                <w:szCs w:val="22"/>
                <w:rtl w:val="0"/>
              </w:rPr>
              <w:t xml:space="preserve">Names and titles of principal directors</w:t>
            </w:r>
            <w:r w:rsidDel="00000000" w:rsidR="00000000" w:rsidRPr="00000000">
              <w:rPr>
                <w:b w:val="1"/>
                <w:sz w:val="22"/>
                <w:szCs w:val="22"/>
                <w:vertAlign w:val="superscript"/>
              </w:rPr>
              <w:footnoteReference w:customMarkFollows="0" w:id="11"/>
            </w:r>
            <w:r w:rsidDel="00000000" w:rsidR="00000000" w:rsidRPr="00000000">
              <w:rPr>
                <w:rtl w:val="0"/>
              </w:rPr>
            </w:r>
          </w:p>
        </w:tc>
        <w:tc>
          <w:tcPr>
            <w:tcBorders>
              <w:left w:color="6e7c95" w:space="0" w:sz="4" w:val="single"/>
            </w:tcBorders>
          </w:tcPr>
          <w:p w:rsidR="00000000" w:rsidDel="00000000" w:rsidP="00000000" w:rsidRDefault="00000000" w:rsidRPr="00000000" w14:paraId="000000D2">
            <w:pPr>
              <w:widowControl w:val="0"/>
              <w:spacing w:after="20" w:before="20" w:line="240" w:lineRule="auto"/>
              <w:jc w:val="left"/>
              <w:rPr>
                <w:b w:val="1"/>
                <w:sz w:val="22"/>
                <w:szCs w:val="22"/>
              </w:rPr>
            </w:pPr>
            <w:r w:rsidDel="00000000" w:rsidR="00000000" w:rsidRPr="00000000">
              <w:rPr>
                <w:b w:val="1"/>
                <w:sz w:val="22"/>
                <w:szCs w:val="22"/>
                <w:rtl w:val="0"/>
              </w:rPr>
              <w:t xml:space="preserve">______________________________________________</w:t>
            </w:r>
          </w:p>
        </w:tc>
      </w:tr>
    </w:tbl>
    <w:p w:rsidR="00000000" w:rsidDel="00000000" w:rsidP="00000000" w:rsidRDefault="00000000" w:rsidRPr="00000000" w14:paraId="000000D3">
      <w:pPr>
        <w:spacing w:after="0" w:line="259" w:lineRule="auto"/>
        <w:jc w:val="left"/>
        <w:rPr>
          <w:rFonts w:ascii="Montserrat Medium" w:cs="Montserrat Medium" w:eastAsia="Montserrat Medium" w:hAnsi="Montserrat Medium"/>
          <w:sz w:val="22"/>
          <w:szCs w:val="22"/>
        </w:rPr>
      </w:pPr>
      <w:r w:rsidDel="00000000" w:rsidR="00000000" w:rsidRPr="00000000">
        <w:rPr>
          <w:rtl w:val="0"/>
        </w:rPr>
      </w:r>
    </w:p>
    <w:p w:rsidR="00000000" w:rsidDel="00000000" w:rsidP="00000000" w:rsidRDefault="00000000" w:rsidRPr="00000000" w14:paraId="000000D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1"/>
          <w:sz w:val="22"/>
          <w:szCs w:val="22"/>
        </w:rPr>
      </w:pPr>
      <w:r w:rsidDel="00000000" w:rsidR="00000000" w:rsidRPr="00000000">
        <w:rPr>
          <w:b w:val="1"/>
          <w:sz w:val="22"/>
          <w:szCs w:val="22"/>
          <w:rtl w:val="0"/>
        </w:rPr>
        <w:t xml:space="preserve">Raw data regarding that partner enterprise</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bl>
      <w:tblPr>
        <w:tblStyle w:val="Table8"/>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522"/>
        <w:gridCol w:w="2220"/>
        <w:gridCol w:w="2278"/>
        <w:gridCol w:w="2052"/>
        <w:tblGridChange w:id="0">
          <w:tblGrid>
            <w:gridCol w:w="2522"/>
            <w:gridCol w:w="2220"/>
            <w:gridCol w:w="2278"/>
            <w:gridCol w:w="2052"/>
          </w:tblGrid>
        </w:tblGridChange>
      </w:tblGrid>
      <w:tr>
        <w:trPr>
          <w:cantSplit w:val="0"/>
          <w:tblHeader w:val="0"/>
        </w:trPr>
        <w:tc>
          <w:tcPr>
            <w:gridSpan w:val="2"/>
            <w:tcBorders>
              <w:top w:color="000000" w:space="0" w:sz="18" w:val="single"/>
              <w:right w:color="6e7c95" w:space="0" w:sz="4" w:val="single"/>
            </w:tcBorders>
            <w:shd w:fill="008f4a" w:val="clear"/>
          </w:tcPr>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color w:val="f6f6f6"/>
              </w:rPr>
            </w:pPr>
            <w:r w:rsidDel="00000000" w:rsidR="00000000" w:rsidRPr="00000000">
              <w:rPr>
                <w:b w:val="1"/>
                <w:color w:val="f6f6f6"/>
                <w:rtl w:val="0"/>
              </w:rPr>
              <w:t xml:space="preserve">Reference period</w:t>
            </w:r>
          </w:p>
        </w:tc>
        <w:tc>
          <w:tcPr>
            <w:gridSpan w:val="2"/>
            <w:tcBorders>
              <w:top w:color="000000" w:space="0" w:sz="18" w:val="single"/>
              <w:left w:color="6e7c95" w:space="0" w:sz="4" w:val="single"/>
            </w:tcBorders>
            <w:shd w:fill="008f4a" w:val="clear"/>
          </w:tcPr>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Headcount (AWU)</w:t>
            </w:r>
          </w:p>
        </w:tc>
        <w:tc>
          <w:tcPr>
            <w:tcBorders>
              <w:left w:color="6e7c95" w:space="0" w:sz="4" w:val="single"/>
              <w:right w:color="6e7c95" w:space="0" w:sz="4" w:val="single"/>
            </w:tcBorders>
          </w:tcPr>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Annual turnover (*)</w:t>
            </w:r>
          </w:p>
        </w:tc>
        <w:tc>
          <w:tcPr>
            <w:tcBorders>
              <w:left w:color="6e7c95" w:space="0" w:sz="4" w:val="single"/>
              <w:bottom w:color="000000" w:space="0" w:sz="4" w:val="single"/>
            </w:tcBorders>
          </w:tcPr>
          <w:p w:rsidR="00000000" w:rsidDel="00000000" w:rsidP="00000000" w:rsidRDefault="00000000" w:rsidRPr="00000000" w14:paraId="000000D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Balance sheet total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D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Raw data</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tcBorders>
          </w:tcPr>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r>
      <w:tr>
        <w:trPr>
          <w:cantSplit w:val="0"/>
          <w:tblHeader w:val="0"/>
        </w:trPr>
        <w:tc>
          <w:tcPr>
            <w:gridSpan w:val="2"/>
            <w:tcBorders>
              <w:right w:color="6e7c95" w:space="0" w:sz="4" w:val="single"/>
            </w:tcBorders>
          </w:tcPr>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 EUR 1 000.</w:t>
            </w:r>
          </w:p>
        </w:tc>
        <w:tc>
          <w:tcPr>
            <w:gridSpan w:val="2"/>
            <w:tcBorders>
              <w:left w:color="6e7c95" w:space="0" w:sz="4" w:val="single"/>
            </w:tcBorders>
          </w:tcPr>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bl>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Reminder: </w:t>
      </w:r>
      <w:r w:rsidDel="00000000" w:rsidR="00000000" w:rsidRPr="00000000">
        <w:rPr>
          <w:sz w:val="22"/>
          <w:szCs w:val="22"/>
          <w:rtl w:val="0"/>
        </w:rPr>
        <w:t xml:space="preserve">These raw data are derived from the accounts and other data of the partner enterprise, consolidated if they exist. To those are added 100% of the data of enterprises which are linked to this partner enterprise, unless the accounts data of those linked enterprises are already included through consolidation in the accounts of the partner enterprise</w:t>
      </w:r>
      <w:r w:rsidDel="00000000" w:rsidR="00000000" w:rsidRPr="00000000">
        <w:rPr>
          <w:sz w:val="22"/>
          <w:szCs w:val="22"/>
          <w:vertAlign w:val="superscript"/>
        </w:rPr>
        <w:footnoteReference w:customMarkFollows="0" w:id="12"/>
      </w:r>
      <w:r w:rsidDel="00000000" w:rsidR="00000000" w:rsidRPr="00000000">
        <w:rPr>
          <w:sz w:val="22"/>
          <w:szCs w:val="22"/>
          <w:rtl w:val="0"/>
        </w:rPr>
        <w:t xml:space="preserve">. If necessary, add “linkage sheets” for the enterprises which are not yet included through consolidation.</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E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1"/>
          <w:sz w:val="22"/>
          <w:szCs w:val="22"/>
        </w:rPr>
      </w:pPr>
      <w:r w:rsidDel="00000000" w:rsidR="00000000" w:rsidRPr="00000000">
        <w:rPr>
          <w:b w:val="1"/>
          <w:sz w:val="22"/>
          <w:szCs w:val="22"/>
          <w:rtl w:val="0"/>
        </w:rPr>
        <w:t xml:space="preserve">Proportional calculation</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Precisely indicate the holding</w:t>
      </w:r>
      <w:r w:rsidDel="00000000" w:rsidR="00000000" w:rsidRPr="00000000">
        <w:rPr>
          <w:sz w:val="22"/>
          <w:szCs w:val="22"/>
          <w:vertAlign w:val="superscript"/>
        </w:rPr>
        <w:footnoteReference w:customMarkFollows="0" w:id="13"/>
      </w:r>
      <w:r w:rsidDel="00000000" w:rsidR="00000000" w:rsidRPr="00000000">
        <w:rPr>
          <w:sz w:val="22"/>
          <w:szCs w:val="22"/>
          <w:rtl w:val="0"/>
        </w:rPr>
        <w:t xml:space="preserve"> of the enterprise drawing up the declaration (or of the linked enterprise via which the relation to the partner enterprise is established) in the partner enterprise to which this sheet relates: </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rtl w:val="0"/>
        </w:rPr>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Also indicate the holding of the partner enterprise to which this sheet relates in the enterprise drawing up the declaration (or in the linked enterprise): </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____________________________________________________________________________________________________________________________________________________________ </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The higher of these two holding percentages should be applied to the raw data entered in the previous box. The results of this proportional calculation should be given in the following table:</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‘Partnership box’</w:t>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bl>
      <w:tblPr>
        <w:tblStyle w:val="Table9"/>
        <w:tblW w:w="9070.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653"/>
        <w:gridCol w:w="2168"/>
        <w:gridCol w:w="2250"/>
        <w:gridCol w:w="1999"/>
        <w:tblGridChange w:id="0">
          <w:tblGrid>
            <w:gridCol w:w="2653"/>
            <w:gridCol w:w="2168"/>
            <w:gridCol w:w="2250"/>
            <w:gridCol w:w="1999"/>
          </w:tblGrid>
        </w:tblGridChange>
      </w:tblGrid>
      <w:tr>
        <w:trPr>
          <w:cantSplit w:val="0"/>
          <w:tblHeader w:val="0"/>
        </w:trPr>
        <w:tc>
          <w:tcPr>
            <w:tcBorders>
              <w:bottom w:color="000000" w:space="0" w:sz="4" w:val="single"/>
              <w:right w:color="6e7c95" w:space="0" w:sz="4" w:val="single"/>
            </w:tcBorders>
            <w:shd w:fill="008f4a" w:val="clear"/>
          </w:tcPr>
          <w:p w:rsidR="00000000" w:rsidDel="00000000" w:rsidP="00000000" w:rsidRDefault="00000000" w:rsidRPr="00000000" w14:paraId="000000F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color w:val="f6f6f6"/>
              </w:rPr>
            </w:pPr>
            <w:r w:rsidDel="00000000" w:rsidR="00000000" w:rsidRPr="00000000">
              <w:rPr>
                <w:b w:val="1"/>
                <w:color w:val="f6f6f6"/>
                <w:rtl w:val="0"/>
              </w:rPr>
              <w:t xml:space="preserve">Percentage:</w:t>
            </w:r>
          </w:p>
        </w:tc>
        <w:tc>
          <w:tcPr>
            <w:tcBorders>
              <w:left w:color="6e7c95" w:space="0" w:sz="4" w:val="single"/>
              <w:bottom w:color="000000" w:space="0" w:sz="4" w:val="single"/>
              <w:right w:color="6e7c95" w:space="0" w:sz="4" w:val="single"/>
            </w:tcBorders>
            <w:shd w:fill="008f4a" w:val="clear"/>
          </w:tcPr>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Headcount (AWU)</w:t>
            </w:r>
            <w:r w:rsidDel="00000000" w:rsidR="00000000" w:rsidRPr="00000000">
              <w:rPr>
                <w:rtl w:val="0"/>
              </w:rPr>
            </w:r>
          </w:p>
        </w:tc>
        <w:tc>
          <w:tcPr>
            <w:tcBorders>
              <w:left w:color="6e7c95" w:space="0" w:sz="4" w:val="single"/>
              <w:right w:color="6e7c95" w:space="0" w:sz="4" w:val="single"/>
            </w:tcBorders>
            <w:shd w:fill="008f4a" w:val="clear"/>
          </w:tcPr>
          <w:p w:rsidR="00000000" w:rsidDel="00000000" w:rsidP="00000000" w:rsidRDefault="00000000" w:rsidRPr="00000000" w14:paraId="000000F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Annual turnover (*)</w:t>
            </w:r>
            <w:r w:rsidDel="00000000" w:rsidR="00000000" w:rsidRPr="00000000">
              <w:rPr>
                <w:rtl w:val="0"/>
              </w:rPr>
            </w:r>
          </w:p>
        </w:tc>
        <w:tc>
          <w:tcPr>
            <w:tcBorders>
              <w:left w:color="6e7c95" w:space="0" w:sz="4" w:val="single"/>
              <w:bottom w:color="000000" w:space="0" w:sz="4" w:val="single"/>
            </w:tcBorders>
            <w:shd w:fill="008f4a" w:val="clear"/>
          </w:tcPr>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Balance sheet total (*)</w:t>
            </w: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Proportional results</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tcBorders>
          </w:tcPr>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r>
      <w:tr>
        <w:trPr>
          <w:cantSplit w:val="0"/>
          <w:tblHeader w:val="0"/>
        </w:trPr>
        <w:tc>
          <w:tcPr>
            <w:gridSpan w:val="2"/>
            <w:tcBorders>
              <w:right w:color="6e7c95" w:space="0" w:sz="4" w:val="single"/>
            </w:tcBorders>
          </w:tcPr>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EUR 1 000.</w:t>
            </w:r>
          </w:p>
        </w:tc>
        <w:tc>
          <w:tcPr>
            <w:gridSpan w:val="2"/>
            <w:tcBorders>
              <w:left w:color="6e7c95" w:space="0" w:sz="4" w:val="single"/>
            </w:tcBorders>
          </w:tcPr>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bl>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These data should be entered in Box A in Annex A.</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sz w:val="22"/>
          <w:szCs w:val="22"/>
        </w:rPr>
      </w:pPr>
      <w:r w:rsidDel="00000000" w:rsidR="00000000" w:rsidRPr="00000000">
        <w:rPr>
          <w:b w:val="1"/>
          <w:sz w:val="22"/>
          <w:szCs w:val="22"/>
          <w:rtl w:val="0"/>
        </w:rPr>
        <w:t xml:space="preserve">ANNEX B </w:t>
        <w:br w:type="textWrapping"/>
        <w:t xml:space="preserve">Linked enterprises</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DETERMINE THE CASE APPLICABLE TO THE APPLICANT ENTERPRISE:</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Pr>
        <w:drawing>
          <wp:inline distB="0" distT="0" distL="0" distR="0">
            <wp:extent cx="153670" cy="135890"/>
            <wp:effectExtent b="0" l="0" r="0" t="0"/>
            <wp:docPr id="1146486598"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b w:val="1"/>
          <w:sz w:val="22"/>
          <w:szCs w:val="22"/>
          <w:rtl w:val="0"/>
        </w:rPr>
        <w:t xml:space="preserve"> Case 1</w:t>
      </w:r>
      <w:r w:rsidDel="00000000" w:rsidR="00000000" w:rsidRPr="00000000">
        <w:rPr>
          <w:sz w:val="22"/>
          <w:szCs w:val="22"/>
          <w:rtl w:val="0"/>
        </w:rPr>
        <w:t xml:space="preserve">: The applicant enterprise draws up consolidated accounts or is included by consolidation in the consolidated accounts of another enterprise. (Box B(1)) </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Pr>
        <w:drawing>
          <wp:inline distB="0" distT="0" distL="0" distR="0">
            <wp:extent cx="153670" cy="135890"/>
            <wp:effectExtent b="0" l="0" r="0" t="0"/>
            <wp:docPr id="114648660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53670" cy="135890"/>
                    </a:xfrm>
                    <a:prstGeom prst="rect"/>
                    <a:ln/>
                  </pic:spPr>
                </pic:pic>
              </a:graphicData>
            </a:graphic>
          </wp:inline>
        </w:drawing>
      </w:r>
      <w:r w:rsidDel="00000000" w:rsidR="00000000" w:rsidRPr="00000000">
        <w:rPr>
          <w:b w:val="1"/>
          <w:sz w:val="22"/>
          <w:szCs w:val="22"/>
          <w:rtl w:val="0"/>
        </w:rPr>
        <w:t xml:space="preserve"> Case 2</w:t>
      </w:r>
      <w:r w:rsidDel="00000000" w:rsidR="00000000" w:rsidRPr="00000000">
        <w:rPr>
          <w:sz w:val="22"/>
          <w:szCs w:val="22"/>
          <w:rtl w:val="0"/>
        </w:rPr>
        <w:t xml:space="preserve">: The applicant enterprise or one or more of the linked enterprises do not establish consolidated accounts or are not included in the consolidated accounts. (Box B(2)). </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Please note: </w:t>
      </w:r>
      <w:r w:rsidDel="00000000" w:rsidR="00000000" w:rsidRPr="00000000">
        <w:rPr>
          <w:sz w:val="22"/>
          <w:szCs w:val="22"/>
          <w:rtl w:val="0"/>
        </w:rPr>
        <w:t xml:space="preserve">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Del="00000000" w:rsidR="00000000" w:rsidRPr="00000000">
        <w:rPr>
          <w:sz w:val="22"/>
          <w:szCs w:val="22"/>
          <w:vertAlign w:val="superscript"/>
        </w:rPr>
        <w:footnoteReference w:customMarkFollows="0" w:id="14"/>
      </w:r>
      <w:r w:rsidDel="00000000" w:rsidR="00000000" w:rsidRPr="00000000">
        <w:rPr>
          <w:sz w:val="22"/>
          <w:szCs w:val="22"/>
          <w:rtl w:val="0"/>
        </w:rPr>
        <w:t xml:space="preserve">.</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CALCULATION METHODS FOR EACH CASE:</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In case 1: </w:t>
      </w:r>
      <w:r w:rsidDel="00000000" w:rsidR="00000000" w:rsidRPr="00000000">
        <w:rPr>
          <w:sz w:val="22"/>
          <w:szCs w:val="22"/>
          <w:rtl w:val="0"/>
        </w:rPr>
        <w:t xml:space="preserve">The consolidated accounts serve as the basis for the calculation. Fill in Box B(1) below.</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sz w:val="22"/>
          <w:szCs w:val="22"/>
        </w:rPr>
      </w:pPr>
      <w:r w:rsidDel="00000000" w:rsidR="00000000" w:rsidRPr="00000000">
        <w:rPr>
          <w:b w:val="1"/>
          <w:sz w:val="22"/>
          <w:szCs w:val="22"/>
          <w:rtl w:val="0"/>
        </w:rPr>
        <w:t xml:space="preserve">Box B(1)</w:t>
      </w:r>
    </w:p>
    <w:tbl>
      <w:tblPr>
        <w:tblStyle w:val="Table10"/>
        <w:tblW w:w="9075.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265"/>
        <w:gridCol w:w="2505"/>
        <w:gridCol w:w="2160"/>
        <w:gridCol w:w="2145"/>
        <w:tblGridChange w:id="0">
          <w:tblGrid>
            <w:gridCol w:w="2265"/>
            <w:gridCol w:w="2505"/>
            <w:gridCol w:w="2160"/>
            <w:gridCol w:w="2145"/>
          </w:tblGrid>
        </w:tblGridChange>
      </w:tblGrid>
      <w:tr>
        <w:trPr>
          <w:cantSplit w:val="0"/>
          <w:tblHeader w:val="0"/>
        </w:trPr>
        <w:tc>
          <w:tcPr>
            <w:tcBorders>
              <w:bottom w:color="000000" w:space="0" w:sz="4" w:val="single"/>
              <w:right w:color="6e7c95" w:space="0" w:sz="4" w:val="single"/>
            </w:tcBorders>
            <w:shd w:fill="008f4a" w:val="clear"/>
          </w:tcPr>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tc>
        <w:tc>
          <w:tcPr>
            <w:tcBorders>
              <w:left w:color="6e7c95" w:space="0" w:sz="4" w:val="single"/>
              <w:bottom w:color="000000" w:space="0" w:sz="4" w:val="single"/>
              <w:right w:color="6e7c95" w:space="0" w:sz="4" w:val="single"/>
            </w:tcBorders>
            <w:shd w:fill="008f4a" w:val="clear"/>
          </w:tcPr>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color w:val="f6f6f6"/>
              </w:rPr>
            </w:pPr>
            <w:r w:rsidDel="00000000" w:rsidR="00000000" w:rsidRPr="00000000">
              <w:rPr>
                <w:color w:val="f6f6f6"/>
                <w:rtl w:val="0"/>
              </w:rPr>
              <w:t xml:space="preserve">Headcount (*)</w:t>
            </w:r>
          </w:p>
        </w:tc>
        <w:tc>
          <w:tcPr>
            <w:tcBorders>
              <w:left w:color="6e7c95" w:space="0" w:sz="4" w:val="single"/>
              <w:right w:color="6e7c95" w:space="0" w:sz="4" w:val="single"/>
            </w:tcBorders>
            <w:shd w:fill="008f4a" w:val="clear"/>
          </w:tcPr>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color w:val="f6f6f6"/>
              </w:rPr>
            </w:pPr>
            <w:r w:rsidDel="00000000" w:rsidR="00000000" w:rsidRPr="00000000">
              <w:rPr>
                <w:color w:val="f6f6f6"/>
                <w:rtl w:val="0"/>
              </w:rPr>
              <w:t xml:space="preserve">Annual turnover (**)</w:t>
            </w:r>
          </w:p>
        </w:tc>
        <w:tc>
          <w:tcPr>
            <w:tcBorders>
              <w:left w:color="6e7c95" w:space="0" w:sz="4" w:val="single"/>
              <w:bottom w:color="000000" w:space="0" w:sz="4" w:val="single"/>
            </w:tcBorders>
            <w:shd w:fill="008f4a" w:val="clear"/>
          </w:tcPr>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color w:val="f6f6f6"/>
              </w:rPr>
            </w:pPr>
            <w:r w:rsidDel="00000000" w:rsidR="00000000" w:rsidRPr="00000000">
              <w:rPr>
                <w:color w:val="f6f6f6"/>
                <w:rtl w:val="0"/>
              </w:rPr>
              <w:t xml:space="preserve">Balance sheet total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Total</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_________</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_________</w:t>
            </w:r>
          </w:p>
        </w:tc>
        <w:tc>
          <w:tcPr>
            <w:tcBorders>
              <w:left w:color="6e7c95" w:space="0" w:sz="4" w:val="single"/>
              <w:bottom w:color="000000" w:space="0" w:sz="4" w:val="single"/>
            </w:tcBorders>
          </w:tcPr>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_________</w:t>
            </w:r>
          </w:p>
        </w:tc>
      </w:tr>
      <w:tr>
        <w:trPr>
          <w:cantSplit w:val="0"/>
          <w:tblHeader w:val="0"/>
        </w:trPr>
        <w:tc>
          <w:tcPr>
            <w:gridSpan w:val="4"/>
          </w:tcPr>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Where in the consolidated accounts no headcount data appears, the calculation of it is done by adding the data from the enterprises to which the enterprise in question is linked.</w:t>
            </w:r>
          </w:p>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EUR 1 000.</w:t>
            </w:r>
          </w:p>
        </w:tc>
      </w:tr>
    </w:tbl>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rtl w:val="0"/>
        </w:rPr>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The data entered in the "Total" row of the above table should be entered in line 1 of the table in the Annex to the declaration.</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bl>
      <w:tblPr>
        <w:tblStyle w:val="Table11"/>
        <w:tblW w:w="8415.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445"/>
        <w:gridCol w:w="1995"/>
        <w:gridCol w:w="1920"/>
        <w:gridCol w:w="2055"/>
        <w:tblGridChange w:id="0">
          <w:tblGrid>
            <w:gridCol w:w="2445"/>
            <w:gridCol w:w="1995"/>
            <w:gridCol w:w="1920"/>
            <w:gridCol w:w="2055"/>
          </w:tblGrid>
        </w:tblGridChange>
      </w:tblGrid>
      <w:tr>
        <w:trPr>
          <w:cantSplit w:val="0"/>
          <w:tblHeader w:val="1"/>
        </w:trPr>
        <w:tc>
          <w:tcPr>
            <w:gridSpan w:val="4"/>
            <w:tcBorders>
              <w:bottom w:color="000000" w:space="0" w:sz="4" w:val="single"/>
            </w:tcBorders>
            <w:vAlign w:val="center"/>
          </w:tcPr>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rPr>
            </w:pPr>
            <w:r w:rsidDel="00000000" w:rsidR="00000000" w:rsidRPr="00000000">
              <w:rPr>
                <w:b w:val="1"/>
                <w:rtl w:val="0"/>
              </w:rPr>
              <w:t xml:space="preserve">Identification of the enterprises included through consolidation</w:t>
            </w:r>
          </w:p>
        </w:tc>
      </w:tr>
      <w:tr>
        <w:trPr>
          <w:cantSplit w:val="0"/>
          <w:tblHeader w:val="1"/>
        </w:trPr>
        <w:tc>
          <w:tcPr>
            <w:tcBorders>
              <w:bottom w:color="000000" w:space="0" w:sz="4" w:val="single"/>
              <w:right w:color="6e7c95" w:space="0" w:sz="4" w:val="single"/>
            </w:tcBorders>
            <w:vAlign w:val="center"/>
          </w:tcPr>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Linked enterprise</w:t>
            </w:r>
          </w:p>
          <w:p w:rsidR="00000000" w:rsidDel="00000000" w:rsidP="00000000" w:rsidRDefault="00000000" w:rsidRPr="00000000" w14:paraId="000001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(name / identification)</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Address</w:t>
            </w:r>
          </w:p>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(of registered office)</w:t>
            </w:r>
          </w:p>
        </w:tc>
        <w:tc>
          <w:tcPr>
            <w:tcBorders>
              <w:left w:color="6e7c95" w:space="0" w:sz="4" w:val="single"/>
              <w:right w:color="6e7c95" w:space="0" w:sz="4" w:val="single"/>
            </w:tcBorders>
            <w:vAlign w:val="center"/>
          </w:tcPr>
          <w:p w:rsidR="00000000" w:rsidDel="00000000" w:rsidP="00000000" w:rsidRDefault="00000000" w:rsidRPr="00000000" w14:paraId="000001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0.748031496063106" w:right="0" w:firstLine="0"/>
              <w:jc w:val="left"/>
              <w:rPr>
                <w:sz w:val="22"/>
                <w:szCs w:val="22"/>
              </w:rPr>
            </w:pPr>
            <w:r w:rsidDel="00000000" w:rsidR="00000000" w:rsidRPr="00000000">
              <w:rPr>
                <w:sz w:val="22"/>
                <w:szCs w:val="22"/>
                <w:rtl w:val="0"/>
              </w:rPr>
              <w:t xml:space="preserve">Registration / VAT number (*)</w:t>
            </w:r>
          </w:p>
        </w:tc>
        <w:tc>
          <w:tcPr>
            <w:tcBorders>
              <w:left w:color="6e7c95" w:space="0" w:sz="4" w:val="single"/>
              <w:bottom w:color="000000" w:space="0" w:sz="4" w:val="single"/>
            </w:tcBorders>
            <w:vAlign w:val="center"/>
          </w:tcPr>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Names and titles of the principal director(s) (**)</w:t>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1.</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2.</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3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3.</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4.</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5.</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6.</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vAlign w:val="center"/>
          </w:tcPr>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7.</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rHeight w:val="415" w:hRule="atLeast"/>
          <w:tblHeader w:val="0"/>
        </w:trPr>
        <w:tc>
          <w:tcPr>
            <w:tcBorders>
              <w:bottom w:color="000000" w:space="0" w:sz="4" w:val="single"/>
              <w:right w:color="6e7c95" w:space="0" w:sz="4" w:val="single"/>
            </w:tcBorders>
            <w:vAlign w:val="center"/>
          </w:tcPr>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Total</w:t>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vAlign w:val="center"/>
          </w:tcPr>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vAlign w:val="center"/>
          </w:tcPr>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gridSpan w:val="4"/>
            <w:vAlign w:val="center"/>
          </w:tcPr>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To be determined by the Member State according to its needs</w:t>
            </w:r>
          </w:p>
          <w:p w:rsidR="00000000" w:rsidDel="00000000" w:rsidP="00000000" w:rsidRDefault="00000000" w:rsidRPr="00000000" w14:paraId="0000015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Chairman (CEO), Director-General or equivalent.</w:t>
            </w:r>
          </w:p>
        </w:tc>
      </w:tr>
    </w:tbl>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Important: </w:t>
      </w:r>
      <w:r w:rsidDel="00000000" w:rsidR="00000000" w:rsidRPr="00000000">
        <w:rPr>
          <w:sz w:val="22"/>
          <w:szCs w:val="22"/>
          <w:rtl w:val="0"/>
        </w:rPr>
        <w:t xml:space="preserve">Partner enterprises of such a linked enterprise, which are not yet included through consolidation, are treated like direct partners of the applicant enterprise. Their data and a ‘partnership sheet’ should therefore be added in Annex A.</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In case 2</w:t>
      </w:r>
      <w:r w:rsidDel="00000000" w:rsidR="00000000" w:rsidRPr="00000000">
        <w:rPr>
          <w:sz w:val="22"/>
          <w:szCs w:val="22"/>
          <w:rtl w:val="0"/>
        </w:rPr>
        <w:t xml:space="preserve">: For each linked enterprise (including links via other linked enterprises), complete a "linkage sheet" and simply add together the accounts of all the linked enterprises by filling in Box B(2) below.</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sz w:val="22"/>
          <w:szCs w:val="22"/>
        </w:rPr>
      </w:pPr>
      <w:r w:rsidDel="00000000" w:rsidR="00000000" w:rsidRPr="00000000">
        <w:rPr>
          <w:b w:val="1"/>
          <w:sz w:val="22"/>
          <w:szCs w:val="22"/>
          <w:rtl w:val="0"/>
        </w:rPr>
        <w:t xml:space="preserve">Box B(2)</w:t>
      </w:r>
    </w:p>
    <w:tbl>
      <w:tblPr>
        <w:tblStyle w:val="Table12"/>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630"/>
        <w:gridCol w:w="2174"/>
        <w:gridCol w:w="2144"/>
        <w:gridCol w:w="2124"/>
        <w:tblGridChange w:id="0">
          <w:tblGrid>
            <w:gridCol w:w="2630"/>
            <w:gridCol w:w="2174"/>
            <w:gridCol w:w="2144"/>
            <w:gridCol w:w="2124"/>
          </w:tblGrid>
        </w:tblGridChange>
      </w:tblGrid>
      <w:tr>
        <w:trPr>
          <w:cantSplit w:val="0"/>
          <w:tblHeader w:val="0"/>
        </w:trPr>
        <w:tc>
          <w:tcPr>
            <w:tcBorders>
              <w:bottom w:color="000000" w:space="0" w:sz="4" w:val="single"/>
              <w:right w:color="6e7c95" w:space="0" w:sz="4" w:val="single"/>
            </w:tcBorders>
            <w:shd w:fill="008f4a" w:val="clear"/>
          </w:tcPr>
          <w:p w:rsidR="00000000" w:rsidDel="00000000" w:rsidP="00000000" w:rsidRDefault="00000000" w:rsidRPr="00000000" w14:paraId="000001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color w:val="f6f6f6"/>
              </w:rPr>
            </w:pPr>
            <w:r w:rsidDel="00000000" w:rsidR="00000000" w:rsidRPr="00000000">
              <w:rPr>
                <w:b w:val="1"/>
                <w:color w:val="f6f6f6"/>
                <w:rtl w:val="0"/>
              </w:rPr>
              <w:t xml:space="preserve">Enterprise No.:</w:t>
            </w:r>
          </w:p>
        </w:tc>
        <w:tc>
          <w:tcPr>
            <w:tcBorders>
              <w:left w:color="6e7c95" w:space="0" w:sz="4" w:val="single"/>
              <w:bottom w:color="000000" w:space="0" w:sz="4" w:val="single"/>
              <w:right w:color="6e7c95" w:space="0" w:sz="4" w:val="single"/>
            </w:tcBorders>
            <w:shd w:fill="008f4a" w:val="clear"/>
          </w:tcPr>
          <w:p w:rsidR="00000000" w:rsidDel="00000000" w:rsidP="00000000" w:rsidRDefault="00000000" w:rsidRPr="00000000" w14:paraId="0000015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209.64566929133866" w:right="0" w:firstLine="0"/>
              <w:jc w:val="both"/>
              <w:rPr>
                <w:color w:val="f6f6f6"/>
              </w:rPr>
            </w:pPr>
            <w:r w:rsidDel="00000000" w:rsidR="00000000" w:rsidRPr="00000000">
              <w:rPr>
                <w:color w:val="f6f6f6"/>
                <w:rtl w:val="0"/>
              </w:rPr>
              <w:t xml:space="preserve">Headcount (AWU)</w:t>
            </w:r>
            <w:r w:rsidDel="00000000" w:rsidR="00000000" w:rsidRPr="00000000">
              <w:rPr>
                <w:rtl w:val="0"/>
              </w:rPr>
            </w:r>
          </w:p>
        </w:tc>
        <w:tc>
          <w:tcPr>
            <w:tcBorders>
              <w:left w:color="6e7c95" w:space="0" w:sz="4" w:val="single"/>
              <w:right w:color="6e7c95" w:space="0" w:sz="4" w:val="single"/>
            </w:tcBorders>
            <w:shd w:fill="008f4a" w:val="clear"/>
          </w:tcPr>
          <w:p w:rsidR="00000000" w:rsidDel="00000000" w:rsidP="00000000" w:rsidRDefault="00000000" w:rsidRPr="00000000" w14:paraId="0000015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Annual turnover (**)</w:t>
            </w:r>
            <w:r w:rsidDel="00000000" w:rsidR="00000000" w:rsidRPr="00000000">
              <w:rPr>
                <w:rtl w:val="0"/>
              </w:rPr>
            </w:r>
          </w:p>
        </w:tc>
        <w:tc>
          <w:tcPr>
            <w:tcBorders>
              <w:left w:color="6e7c95" w:space="0" w:sz="4" w:val="single"/>
              <w:bottom w:color="000000" w:space="0" w:sz="4" w:val="single"/>
            </w:tcBorders>
            <w:shd w:fill="008f4a" w:val="clear"/>
          </w:tcPr>
          <w:p w:rsidR="00000000" w:rsidDel="00000000" w:rsidP="00000000" w:rsidRDefault="00000000" w:rsidRPr="00000000" w14:paraId="000001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Balance sheet total (**)</w:t>
            </w: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1. (*)</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right w:color="6e7c95" w:space="0" w:sz="4" w:val="single"/>
            </w:tcBorders>
          </w:tcPr>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1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2. (*)</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right w:color="6e7c95" w:space="0" w:sz="4" w:val="single"/>
            </w:tcBorders>
          </w:tcPr>
          <w:p w:rsidR="00000000" w:rsidDel="00000000" w:rsidP="00000000" w:rsidRDefault="00000000" w:rsidRPr="00000000" w14:paraId="0000016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16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6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3. (*)</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6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right w:color="6e7c95" w:space="0" w:sz="4" w:val="single"/>
            </w:tcBorders>
          </w:tcPr>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Total</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6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6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tcBorders>
          </w:tcPr>
          <w:p w:rsidR="00000000" w:rsidDel="00000000" w:rsidP="00000000" w:rsidRDefault="00000000" w:rsidRPr="00000000" w14:paraId="0000016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16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attach one “linkage sheet” per enterprise</w:t>
            </w:r>
          </w:p>
          <w:p w:rsidR="00000000" w:rsidDel="00000000" w:rsidP="00000000" w:rsidRDefault="00000000" w:rsidRPr="00000000" w14:paraId="0000016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EUR 1 000.</w:t>
            </w:r>
          </w:p>
        </w:tc>
      </w:tr>
    </w:tbl>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The data entered in the "Total" row of the above table should be entered in line 3 (regarding linked enterprises) of the table in the Annex to the declaration.</w:t>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sz w:val="22"/>
          <w:szCs w:val="22"/>
        </w:rPr>
      </w:pPr>
      <w:r w:rsidDel="00000000" w:rsidR="00000000" w:rsidRPr="00000000">
        <w:rPr>
          <w:b w:val="1"/>
          <w:sz w:val="22"/>
          <w:szCs w:val="22"/>
          <w:rtl w:val="0"/>
        </w:rPr>
        <w:t xml:space="preserve">LINKAGE SHEET </w:t>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b w:val="1"/>
          <w:sz w:val="22"/>
          <w:szCs w:val="22"/>
        </w:rPr>
      </w:pPr>
      <w:r w:rsidDel="00000000" w:rsidR="00000000" w:rsidRPr="00000000">
        <w:rPr>
          <w:b w:val="1"/>
          <w:sz w:val="22"/>
          <w:szCs w:val="22"/>
          <w:rtl w:val="0"/>
        </w:rPr>
        <w:t xml:space="preserve">(only for linked enterprises not included by consolidation in Box B)</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7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1"/>
          <w:sz w:val="22"/>
          <w:szCs w:val="22"/>
        </w:rPr>
      </w:pPr>
      <w:r w:rsidDel="00000000" w:rsidR="00000000" w:rsidRPr="00000000">
        <w:rPr>
          <w:b w:val="1"/>
          <w:sz w:val="22"/>
          <w:szCs w:val="22"/>
          <w:rtl w:val="0"/>
        </w:rPr>
        <w:t xml:space="preserve">Precise identification of the applicant enterprise</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bl>
      <w:tblPr>
        <w:tblStyle w:val="Table13"/>
        <w:tblW w:w="9072.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3784"/>
        <w:gridCol w:w="5288"/>
        <w:tblGridChange w:id="0">
          <w:tblGrid>
            <w:gridCol w:w="3784"/>
            <w:gridCol w:w="5288"/>
          </w:tblGrid>
        </w:tblGridChange>
      </w:tblGrid>
      <w:tr>
        <w:trPr>
          <w:cantSplit w:val="0"/>
          <w:tblHeader w:val="0"/>
        </w:trPr>
        <w:tc>
          <w:tcPr>
            <w:tcBorders>
              <w:right w:color="6e7c95" w:space="0" w:sz="4" w:val="single"/>
            </w:tcBorders>
            <w:shd w:fill="008f4a" w:val="clear"/>
          </w:tcPr>
          <w:p w:rsidR="00000000" w:rsidDel="00000000" w:rsidP="00000000" w:rsidRDefault="00000000" w:rsidRPr="00000000" w14:paraId="0000017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color w:val="f6f6f6"/>
              </w:rPr>
            </w:pPr>
            <w:r w:rsidDel="00000000" w:rsidR="00000000" w:rsidRPr="00000000">
              <w:rPr>
                <w:b w:val="1"/>
                <w:color w:val="f6f6f6"/>
                <w:rtl w:val="0"/>
              </w:rPr>
              <w:t xml:space="preserve">Name or Business Name</w:t>
            </w:r>
          </w:p>
        </w:tc>
        <w:tc>
          <w:tcPr>
            <w:tcBorders>
              <w:left w:color="6e7c95" w:space="0" w:sz="4" w:val="single"/>
            </w:tcBorders>
            <w:shd w:fill="008f4a" w:val="clear"/>
          </w:tcPr>
          <w:p w:rsidR="00000000" w:rsidDel="00000000" w:rsidP="00000000" w:rsidRDefault="00000000" w:rsidRPr="00000000" w14:paraId="0000017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color w:val="f6f6f6"/>
                <w:rtl w:val="0"/>
              </w:rPr>
              <w:t xml:space="preserve">______________________________________________</w:t>
            </w:r>
            <w:r w:rsidDel="00000000" w:rsidR="00000000" w:rsidRPr="00000000">
              <w:rPr>
                <w:rtl w:val="0"/>
              </w:rPr>
            </w:r>
          </w:p>
        </w:tc>
      </w:tr>
      <w:tr>
        <w:trPr>
          <w:cantSplit w:val="0"/>
          <w:tblHeader w:val="0"/>
        </w:trPr>
        <w:tc>
          <w:tcPr>
            <w:tcBorders>
              <w:right w:color="6e7c95" w:space="0" w:sz="4" w:val="single"/>
            </w:tcBorders>
          </w:tcPr>
          <w:p w:rsidR="00000000" w:rsidDel="00000000" w:rsidP="00000000" w:rsidRDefault="00000000" w:rsidRPr="00000000" w14:paraId="0000017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Address (or Registered office)</w:t>
            </w:r>
          </w:p>
        </w:tc>
        <w:tc>
          <w:tcPr>
            <w:tcBorders>
              <w:left w:color="6e7c95" w:space="0" w:sz="4" w:val="single"/>
            </w:tcBorders>
          </w:tcPr>
          <w:p w:rsidR="00000000" w:rsidDel="00000000" w:rsidP="00000000" w:rsidRDefault="00000000" w:rsidRPr="00000000" w14:paraId="000001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Registration/ VAT number</w:t>
            </w:r>
            <w:r w:rsidDel="00000000" w:rsidR="00000000" w:rsidRPr="00000000">
              <w:rPr>
                <w:b w:val="1"/>
                <w:sz w:val="22"/>
                <w:szCs w:val="22"/>
                <w:vertAlign w:val="superscript"/>
              </w:rPr>
              <w:footnoteReference w:customMarkFollows="0" w:id="15"/>
            </w:r>
            <w:r w:rsidDel="00000000" w:rsidR="00000000" w:rsidRPr="00000000">
              <w:rPr>
                <w:rtl w:val="0"/>
              </w:rPr>
            </w:r>
          </w:p>
        </w:tc>
        <w:tc>
          <w:tcPr>
            <w:tcBorders>
              <w:left w:color="6e7c95" w:space="0" w:sz="4" w:val="single"/>
            </w:tcBorders>
          </w:tcPr>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______________________________________________</w:t>
            </w:r>
          </w:p>
        </w:tc>
      </w:tr>
      <w:tr>
        <w:trPr>
          <w:cantSplit w:val="0"/>
          <w:tblHeader w:val="0"/>
        </w:trPr>
        <w:tc>
          <w:tcPr>
            <w:tcBorders>
              <w:right w:color="6e7c95" w:space="0" w:sz="4" w:val="single"/>
            </w:tcBorders>
          </w:tcPr>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Names and titles of principal directors</w:t>
            </w:r>
            <w:r w:rsidDel="00000000" w:rsidR="00000000" w:rsidRPr="00000000">
              <w:rPr>
                <w:b w:val="1"/>
                <w:sz w:val="22"/>
                <w:szCs w:val="22"/>
                <w:vertAlign w:val="superscript"/>
              </w:rPr>
              <w:footnoteReference w:customMarkFollows="0" w:id="16"/>
            </w:r>
            <w:r w:rsidDel="00000000" w:rsidR="00000000" w:rsidRPr="00000000">
              <w:rPr>
                <w:rtl w:val="0"/>
              </w:rPr>
            </w:r>
          </w:p>
        </w:tc>
        <w:tc>
          <w:tcPr>
            <w:tcBorders>
              <w:left w:color="6e7c95" w:space="0" w:sz="4" w:val="single"/>
            </w:tcBorders>
          </w:tcPr>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______________________________________________</w:t>
            </w:r>
          </w:p>
        </w:tc>
      </w:tr>
    </w:tbl>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8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1"/>
          <w:sz w:val="22"/>
          <w:szCs w:val="22"/>
        </w:rPr>
      </w:pPr>
      <w:r w:rsidDel="00000000" w:rsidR="00000000" w:rsidRPr="00000000">
        <w:rPr>
          <w:b w:val="1"/>
          <w:sz w:val="22"/>
          <w:szCs w:val="22"/>
          <w:rtl w:val="0"/>
        </w:rPr>
        <w:t xml:space="preserve">Data on enterprise</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bl>
      <w:tblPr>
        <w:tblStyle w:val="Table14"/>
        <w:tblW w:w="9070.0" w:type="dxa"/>
        <w:jc w:val="left"/>
        <w:tblInd w:w="108.0" w:type="dxa"/>
        <w:tblBorders>
          <w:top w:color="6e7c95" w:space="0" w:sz="4" w:val="single"/>
          <w:bottom w:color="6e7c95" w:space="0" w:sz="4" w:val="single"/>
          <w:insideH w:color="6e7c95" w:space="0" w:sz="4" w:val="single"/>
          <w:insideV w:color="6e7c95" w:space="0" w:sz="4" w:val="single"/>
        </w:tblBorders>
        <w:tblLayout w:type="fixed"/>
        <w:tblLook w:val="04A0"/>
      </w:tblPr>
      <w:tblGrid>
        <w:gridCol w:w="2576"/>
        <w:gridCol w:w="2192"/>
        <w:gridCol w:w="2275"/>
        <w:gridCol w:w="2027"/>
        <w:tblGridChange w:id="0">
          <w:tblGrid>
            <w:gridCol w:w="2576"/>
            <w:gridCol w:w="2192"/>
            <w:gridCol w:w="2275"/>
            <w:gridCol w:w="2027"/>
          </w:tblGrid>
        </w:tblGridChange>
      </w:tblGrid>
      <w:tr>
        <w:trPr>
          <w:cantSplit w:val="0"/>
          <w:tblHeader w:val="0"/>
        </w:trPr>
        <w:tc>
          <w:tcPr>
            <w:gridSpan w:val="2"/>
            <w:tcBorders>
              <w:top w:color="000000" w:space="0" w:sz="18" w:val="single"/>
              <w:right w:color="6e7c95" w:space="0" w:sz="4" w:val="single"/>
            </w:tcBorders>
            <w:shd w:fill="008f4a" w:val="clear"/>
          </w:tcPr>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color w:val="f6f6f6"/>
              </w:rPr>
            </w:pPr>
            <w:r w:rsidDel="00000000" w:rsidR="00000000" w:rsidRPr="00000000">
              <w:rPr>
                <w:b w:val="1"/>
                <w:color w:val="f6f6f6"/>
                <w:rtl w:val="0"/>
              </w:rPr>
              <w:t xml:space="preserve">Reference period</w:t>
            </w:r>
          </w:p>
        </w:tc>
        <w:tc>
          <w:tcPr>
            <w:gridSpan w:val="2"/>
            <w:tcBorders>
              <w:top w:color="000000" w:space="0" w:sz="18" w:val="single"/>
              <w:left w:color="6e7c95" w:space="0" w:sz="4" w:val="single"/>
            </w:tcBorders>
            <w:shd w:fill="008f4a" w:val="clear"/>
          </w:tcPr>
          <w:p w:rsidR="00000000" w:rsidDel="00000000" w:rsidP="00000000" w:rsidRDefault="00000000" w:rsidRPr="00000000" w14:paraId="0000018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6f6f6"/>
              </w:rPr>
            </w:pPr>
            <w:r w:rsidDel="00000000" w:rsidR="00000000" w:rsidRPr="00000000">
              <w:rPr>
                <w:rtl w:val="0"/>
              </w:rPr>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8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1.7322834645671" w:right="0" w:firstLine="0"/>
              <w:jc w:val="both"/>
              <w:rPr>
                <w:b w:val="1"/>
                <w:sz w:val="22"/>
                <w:szCs w:val="22"/>
              </w:rPr>
            </w:pPr>
            <w:r w:rsidDel="00000000" w:rsidR="00000000" w:rsidRPr="00000000">
              <w:rPr>
                <w:b w:val="1"/>
                <w:sz w:val="22"/>
                <w:szCs w:val="22"/>
                <w:rtl w:val="0"/>
              </w:rPr>
              <w:t xml:space="preserve">Headcount (AWU)</w:t>
            </w:r>
          </w:p>
        </w:tc>
        <w:tc>
          <w:tcPr>
            <w:tcBorders>
              <w:left w:color="6e7c95" w:space="0" w:sz="4" w:val="single"/>
              <w:right w:color="6e7c95" w:space="0" w:sz="4" w:val="single"/>
            </w:tcBorders>
          </w:tcPr>
          <w:p w:rsidR="00000000" w:rsidDel="00000000" w:rsidP="00000000" w:rsidRDefault="00000000" w:rsidRPr="00000000" w14:paraId="000001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1.7322834645671" w:right="0" w:firstLine="0"/>
              <w:jc w:val="both"/>
              <w:rPr>
                <w:b w:val="1"/>
                <w:sz w:val="22"/>
                <w:szCs w:val="22"/>
              </w:rPr>
            </w:pPr>
            <w:r w:rsidDel="00000000" w:rsidR="00000000" w:rsidRPr="00000000">
              <w:rPr>
                <w:b w:val="1"/>
                <w:sz w:val="22"/>
                <w:szCs w:val="22"/>
                <w:rtl w:val="0"/>
              </w:rPr>
              <w:t xml:space="preserve">Annual turnover (*)</w:t>
            </w:r>
          </w:p>
        </w:tc>
        <w:tc>
          <w:tcPr>
            <w:tcBorders>
              <w:left w:color="6e7c95" w:space="0" w:sz="4" w:val="single"/>
              <w:bottom w:color="000000" w:space="0" w:sz="4" w:val="single"/>
            </w:tcBorders>
          </w:tcPr>
          <w:p w:rsidR="00000000" w:rsidDel="00000000" w:rsidP="00000000" w:rsidRDefault="00000000" w:rsidRPr="00000000" w14:paraId="000001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1.7322834645671" w:right="0" w:firstLine="0"/>
              <w:jc w:val="both"/>
              <w:rPr>
                <w:b w:val="1"/>
                <w:sz w:val="22"/>
                <w:szCs w:val="22"/>
              </w:rPr>
            </w:pPr>
            <w:r w:rsidDel="00000000" w:rsidR="00000000" w:rsidRPr="00000000">
              <w:rPr>
                <w:b w:val="1"/>
                <w:sz w:val="22"/>
                <w:szCs w:val="22"/>
                <w:rtl w:val="0"/>
              </w:rPr>
              <w:t xml:space="preserve">Balance sheet total (*)</w:t>
            </w:r>
          </w:p>
        </w:tc>
      </w:tr>
      <w:tr>
        <w:trPr>
          <w:cantSplit w:val="0"/>
          <w:tblHeader w:val="0"/>
        </w:trPr>
        <w:tc>
          <w:tcPr>
            <w:tcBorders>
              <w:bottom w:color="000000" w:space="0" w:sz="4" w:val="single"/>
              <w:right w:color="6e7c95" w:space="0" w:sz="4" w:val="single"/>
            </w:tcBorders>
          </w:tcPr>
          <w:p w:rsidR="00000000" w:rsidDel="00000000" w:rsidP="00000000" w:rsidRDefault="00000000" w:rsidRPr="00000000" w14:paraId="0000018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Total</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right w:color="6e7c95" w:space="0" w:sz="4" w:val="single"/>
            </w:tcBorders>
          </w:tcPr>
          <w:p w:rsidR="00000000" w:rsidDel="00000000" w:rsidP="00000000" w:rsidRDefault="00000000" w:rsidRPr="00000000" w14:paraId="0000018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c>
          <w:tcPr>
            <w:tcBorders>
              <w:left w:color="6e7c95" w:space="0" w:sz="4" w:val="single"/>
              <w:bottom w:color="000000" w:space="0" w:sz="4" w:val="single"/>
            </w:tcBorders>
          </w:tcPr>
          <w:p w:rsidR="00000000" w:rsidDel="00000000" w:rsidP="00000000" w:rsidRDefault="00000000" w:rsidRPr="00000000" w14:paraId="0000019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b w:val="1"/>
                <w:sz w:val="22"/>
                <w:szCs w:val="22"/>
                <w:rtl w:val="0"/>
              </w:rPr>
              <w:t xml:space="preserve">_________</w:t>
            </w:r>
          </w:p>
        </w:tc>
      </w:tr>
      <w:tr>
        <w:trPr>
          <w:cantSplit w:val="0"/>
          <w:tblHeader w:val="0"/>
        </w:trPr>
        <w:tc>
          <w:tcPr>
            <w:gridSpan w:val="2"/>
            <w:tcBorders>
              <w:right w:color="6e7c95" w:space="0" w:sz="4" w:val="single"/>
            </w:tcBorders>
          </w:tcPr>
          <w:p w:rsidR="00000000" w:rsidDel="00000000" w:rsidP="00000000" w:rsidRDefault="00000000" w:rsidRPr="00000000" w14:paraId="000001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 EUR 1 000.</w:t>
            </w:r>
          </w:p>
        </w:tc>
        <w:tc>
          <w:tcPr>
            <w:gridSpan w:val="2"/>
            <w:tcBorders>
              <w:left w:color="6e7c95" w:space="0" w:sz="4" w:val="single"/>
            </w:tcBorders>
          </w:tcPr>
          <w:p w:rsidR="00000000" w:rsidDel="00000000" w:rsidP="00000000" w:rsidRDefault="00000000" w:rsidRPr="00000000" w14:paraId="0000019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tc>
      </w:tr>
    </w:tbl>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b w:val="1"/>
          <w:sz w:val="22"/>
          <w:szCs w:val="22"/>
        </w:rPr>
      </w:pPr>
      <w:r w:rsidDel="00000000" w:rsidR="00000000" w:rsidRPr="00000000">
        <w:rPr>
          <w:rtl w:val="0"/>
        </w:rPr>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These data should be entered in Box B(2) in Annex B. </w:t>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rtl w:val="0"/>
        </w:rPr>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b w:val="1"/>
          <w:sz w:val="22"/>
          <w:szCs w:val="22"/>
          <w:rtl w:val="0"/>
        </w:rPr>
        <w:t xml:space="preserve">Important:</w:t>
      </w:r>
      <w:r w:rsidDel="00000000" w:rsidR="00000000" w:rsidRPr="00000000">
        <w:rPr>
          <w:sz w:val="22"/>
          <w:szCs w:val="22"/>
          <w:rtl w:val="0"/>
        </w:rPr>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Del="00000000" w:rsidR="00000000" w:rsidRPr="00000000">
        <w:rPr>
          <w:sz w:val="22"/>
          <w:szCs w:val="22"/>
          <w:vertAlign w:val="superscript"/>
        </w:rPr>
        <w:footnoteReference w:customMarkFollows="0" w:id="17"/>
      </w:r>
      <w:r w:rsidDel="00000000" w:rsidR="00000000" w:rsidRPr="00000000">
        <w:rPr>
          <w:sz w:val="22"/>
          <w:szCs w:val="22"/>
          <w:rtl w:val="0"/>
        </w:rPr>
        <w:t xml:space="preserve">.</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sz w:val="22"/>
          <w:szCs w:val="22"/>
        </w:rPr>
      </w:pPr>
      <w:r w:rsidDel="00000000" w:rsidR="00000000" w:rsidRPr="00000000">
        <w:rPr>
          <w:sz w:val="22"/>
          <w:szCs w:val="22"/>
          <w:rtl w:val="0"/>
        </w:rPr>
        <w:t xml:space="preserve">Such partner enterprises are treated like direct partner enterprises of the applicant enterprise. Their data and a ‘partnership sheet’ have therefore to be added in Annex A.</w:t>
      </w:r>
    </w:p>
    <w:p w:rsidR="00000000" w:rsidDel="00000000" w:rsidP="00000000" w:rsidRDefault="00000000" w:rsidRPr="00000000" w14:paraId="0000019B">
      <w:pPr>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6838" w:w="11906" w:orient="portrait"/>
      <w:pgMar w:bottom="1440" w:top="1440" w:left="1440" w:right="1440" w:header="0" w:footer="14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oppi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0">
    <w:pPr>
      <w:widowControl w:val="0"/>
      <w:pBdr>
        <w:top w:space="0" w:sz="0" w:val="nil"/>
        <w:left w:space="0" w:sz="0" w:val="nil"/>
        <w:bottom w:space="0" w:sz="0" w:val="nil"/>
        <w:right w:space="0" w:sz="0" w:val="nil"/>
        <w:between w:space="0" w:sz="0" w:val="nil"/>
      </w:pBdr>
      <w:spacing w:after="0" w:lineRule="auto"/>
      <w:jc w:val="left"/>
      <w:rPr>
        <w:sz w:val="16"/>
        <w:szCs w:val="16"/>
      </w:rPr>
    </w:pPr>
    <w:r w:rsidDel="00000000" w:rsidR="00000000" w:rsidRPr="00000000">
      <w:rPr>
        <w:rtl w:val="0"/>
      </w:rPr>
    </w:r>
  </w:p>
  <w:tbl>
    <w:tblPr>
      <w:tblStyle w:val="Table15"/>
      <w:tblW w:w="9030.0" w:type="dxa"/>
      <w:jc w:val="left"/>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400"/>
    </w:tblPr>
    <w:tblGrid>
      <w:gridCol w:w="6215"/>
      <w:gridCol w:w="1645"/>
      <w:gridCol w:w="1170"/>
      <w:tblGridChange w:id="0">
        <w:tblGrid>
          <w:gridCol w:w="6215"/>
          <w:gridCol w:w="1645"/>
          <w:gridCol w:w="1170"/>
        </w:tblGrid>
      </w:tblGridChange>
    </w:tblGrid>
    <w:tr>
      <w:trPr>
        <w:cantSplit w:val="0"/>
        <w:trHeight w:val="249" w:hRule="atLeast"/>
        <w:tblHeader w:val="0"/>
      </w:trPr>
      <w:tc>
        <w:tcPr>
          <w:shd w:fill="023f2e" w:val="clear"/>
          <w:vAlign w:val="center"/>
        </w:tcPr>
        <w:p w:rsidR="00000000" w:rsidDel="00000000" w:rsidP="00000000" w:rsidRDefault="00000000" w:rsidRPr="00000000" w14:paraId="000001A1">
          <w:pPr>
            <w:pBdr>
              <w:top w:space="0" w:sz="0" w:val="nil"/>
              <w:left w:space="0" w:sz="0" w:val="nil"/>
              <w:bottom w:space="0" w:sz="0" w:val="nil"/>
              <w:right w:space="0" w:sz="0" w:val="nil"/>
              <w:between w:space="0" w:sz="0" w:val="nil"/>
            </w:pBdr>
            <w:rPr>
              <w:b w:val="1"/>
              <w:color w:val="ffffff"/>
              <w:sz w:val="16"/>
              <w:szCs w:val="16"/>
            </w:rPr>
          </w:pPr>
          <w:r w:rsidDel="00000000" w:rsidR="00000000" w:rsidRPr="00000000">
            <w:rPr>
              <w:b w:val="1"/>
              <w:color w:val="ffffff"/>
              <w:sz w:val="16"/>
              <w:szCs w:val="16"/>
              <w:rtl w:val="0"/>
            </w:rPr>
            <w:t xml:space="preserve">ELIAS 1st Open Call_</w:t>
          </w:r>
          <w:r w:rsidDel="00000000" w:rsidR="00000000" w:rsidRPr="00000000">
            <w:rPr>
              <w:rtl w:val="0"/>
            </w:rPr>
            <w:t xml:space="preserve"> </w:t>
          </w:r>
          <w:r w:rsidDel="00000000" w:rsidR="00000000" w:rsidRPr="00000000">
            <w:rPr>
              <w:b w:val="1"/>
              <w:color w:val="ffffff"/>
              <w:sz w:val="16"/>
              <w:szCs w:val="16"/>
              <w:rtl w:val="0"/>
            </w:rPr>
            <w:t xml:space="preserve">Document 2_Type of Organization</w:t>
          </w:r>
          <w:r w:rsidDel="00000000" w:rsidR="00000000" w:rsidRPr="00000000">
            <w:rPr>
              <w:rtl w:val="0"/>
            </w:rPr>
          </w:r>
        </w:p>
      </w:tc>
      <w:tc>
        <w:tcPr>
          <w:shd w:fill="023f2e" w:val="clear"/>
          <w:vAlign w:val="center"/>
        </w:tcPr>
        <w:p w:rsidR="00000000" w:rsidDel="00000000" w:rsidP="00000000" w:rsidRDefault="00000000" w:rsidRPr="00000000" w14:paraId="000001A2">
          <w:pPr>
            <w:jc w:val="right"/>
            <w:rPr>
              <w:b w:val="1"/>
              <w:color w:val="ffffff"/>
              <w:sz w:val="16"/>
              <w:szCs w:val="16"/>
            </w:rPr>
          </w:pPr>
          <w:r w:rsidDel="00000000" w:rsidR="00000000" w:rsidRPr="00000000">
            <w:rPr>
              <w:b w:val="1"/>
              <w:color w:val="ffffff"/>
              <w:sz w:val="16"/>
              <w:szCs w:val="16"/>
              <w:rtl w:val="0"/>
            </w:rPr>
            <w:t xml:space="preserve">www.elias-ai.eu</w:t>
          </w:r>
        </w:p>
      </w:tc>
      <w:tc>
        <w:tcPr>
          <w:shd w:fill="00bf63" w:val="clear"/>
          <w:vAlign w:val="center"/>
        </w:tcPr>
        <w:p w:rsidR="00000000" w:rsidDel="00000000" w:rsidP="00000000" w:rsidRDefault="00000000" w:rsidRPr="00000000" w14:paraId="000001A3">
          <w:pPr>
            <w:jc w:val="right"/>
            <w:rPr>
              <w:b w:val="1"/>
              <w:color w:val="ffffff"/>
              <w:sz w:val="16"/>
              <w:szCs w:val="16"/>
            </w:rPr>
          </w:pPr>
          <w:r w:rsidDel="00000000" w:rsidR="00000000" w:rsidRPr="00000000">
            <w:rPr>
              <w:b w:val="1"/>
              <w:color w:val="ffffff"/>
              <w:sz w:val="16"/>
              <w:szCs w:val="16"/>
              <w:rtl w:val="0"/>
            </w:rPr>
            <w:t xml:space="preserve">Page | </w:t>
          </w:r>
          <w:r w:rsidDel="00000000" w:rsidR="00000000" w:rsidRPr="00000000">
            <w:rPr>
              <w:b w:val="1"/>
              <w:color w:val="ffffff"/>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A4">
    <w:pPr>
      <w:pBdr>
        <w:top w:space="0" w:sz="0" w:val="nil"/>
        <w:left w:space="0" w:sz="0" w:val="nil"/>
        <w:bottom w:space="0" w:sz="0" w:val="nil"/>
        <w:right w:space="0" w:sz="0" w:val="nil"/>
        <w:between w:space="0" w:sz="0" w:val="nil"/>
      </w:pBdr>
      <w:spacing w:after="0" w:line="240" w:lineRule="auto"/>
      <w:jc w:val="right"/>
      <w:rPr>
        <w:b w:val="1"/>
        <w:color w:val="00bf63"/>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5">
    <w:pPr>
      <w:rPr>
        <w:i w:val="1"/>
        <w:sz w:val="16"/>
        <w:szCs w:val="16"/>
      </w:rPr>
    </w:pPr>
    <w:r w:rsidDel="00000000" w:rsidR="00000000" w:rsidRPr="00000000">
      <w:rPr>
        <w:i w:val="1"/>
        <w:sz w:val="16"/>
        <w:szCs w:val="16"/>
        <w:rtl w:val="0"/>
      </w:rPr>
      <w:t xml:space="preserve">This project has received funding from the European Union's Horizon Europe research and innovation programme under grant agreement No. 101120237.</w:t>
    </w:r>
    <w:r w:rsidDel="00000000" w:rsidR="00000000" w:rsidRPr="00000000">
      <w:drawing>
        <wp:anchor allowOverlap="1" behindDoc="0" distB="0" distT="0" distL="114300" distR="114300" hidden="0" layoutInCell="1" locked="0" relativeHeight="0" simplePos="0">
          <wp:simplePos x="0" y="0"/>
          <wp:positionH relativeFrom="column">
            <wp:posOffset>57160</wp:posOffset>
          </wp:positionH>
          <wp:positionV relativeFrom="paragraph">
            <wp:posOffset>-8772</wp:posOffset>
          </wp:positionV>
          <wp:extent cx="1392555" cy="309245"/>
          <wp:effectExtent b="0" l="0" r="0" t="0"/>
          <wp:wrapSquare wrapText="bothSides" distB="0" distT="0" distL="114300" distR="114300"/>
          <wp:docPr descr="A black background with blue text&#10;&#10;Description automatically generated" id="1146486605" name="image2.png"/>
          <a:graphic>
            <a:graphicData uri="http://schemas.openxmlformats.org/drawingml/2006/picture">
              <pic:pic>
                <pic:nvPicPr>
                  <pic:cNvPr descr="A black background with blue text&#10;&#10;Description automatically generated" id="0" name="image2.png"/>
                  <pic:cNvPicPr preferRelativeResize="0"/>
                </pic:nvPicPr>
                <pic:blipFill>
                  <a:blip r:embed="rId1"/>
                  <a:srcRect b="0" l="0" r="0" t="0"/>
                  <a:stretch>
                    <a:fillRect/>
                  </a:stretch>
                </pic:blipFill>
                <pic:spPr>
                  <a:xfrm>
                    <a:off x="0" y="0"/>
                    <a:ext cx="1392555" cy="309245"/>
                  </a:xfrm>
                  <a:prstGeom prst="rect"/>
                  <a:ln/>
                </pic:spPr>
              </pic:pic>
            </a:graphicData>
          </a:graphic>
        </wp:anchor>
      </w:drawing>
    </w:r>
  </w:p>
  <w:p w:rsidR="00000000" w:rsidDel="00000000" w:rsidP="00000000" w:rsidRDefault="00000000" w:rsidRPr="00000000" w14:paraId="000001A6">
    <w:pPr>
      <w:jc w:val="right"/>
      <w:rPr>
        <w:i w:val="1"/>
        <w:sz w:val="16"/>
        <w:szCs w:val="16"/>
      </w:rPr>
    </w:pPr>
    <w:r w:rsidDel="00000000" w:rsidR="00000000" w:rsidRPr="00000000">
      <w:rPr>
        <w:rtl w:val="0"/>
      </w:rPr>
    </w:r>
  </w:p>
  <w:p w:rsidR="00000000" w:rsidDel="00000000" w:rsidP="00000000" w:rsidRDefault="00000000" w:rsidRPr="00000000" w14:paraId="000001A7">
    <w:pPr>
      <w:jc w:val="right"/>
      <w:rPr>
        <w:i w:val="1"/>
        <w:sz w:val="16"/>
        <w:szCs w:val="16"/>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A9">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Henceforth in the text, the term "Definition" refers to the Annex to Commission Recommendation 2003/361/EC on the definition of SMEs.</w:t>
      </w:r>
    </w:p>
  </w:footnote>
  <w:footnote w:id="1">
    <w:p w:rsidR="00000000" w:rsidDel="00000000" w:rsidP="00000000" w:rsidRDefault="00000000" w:rsidRPr="00000000" w14:paraId="000001AA">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Definition, Article 3.</w:t>
      </w:r>
    </w:p>
  </w:footnote>
  <w:footnote w:id="2">
    <w:p w:rsidR="00000000" w:rsidDel="00000000" w:rsidP="00000000" w:rsidRDefault="00000000" w:rsidRPr="00000000" w14:paraId="000001AB">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In terms of the share of the capital or voting rights, whichever is higher is applied. To this percentage should be added the holding in that same enterprise of each enterprise, which is linked to the holding company (Definition, Article 3 paragraph 2).</w:t>
      </w:r>
    </w:p>
  </w:footnote>
  <w:footnote w:id="3">
    <w:p w:rsidR="00000000" w:rsidDel="00000000" w:rsidP="00000000" w:rsidRDefault="00000000" w:rsidRPr="00000000" w14:paraId="000001AC">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An enterprise may continue being considered as autonomous when this 25% threshold is reached or exceeded, if that percentage is held by the following categories of investors (provided that those are not linked with the applicant enterprise):  </w:t>
      </w:r>
    </w:p>
    <w:p w:rsidR="00000000" w:rsidDel="00000000" w:rsidP="00000000" w:rsidRDefault="00000000" w:rsidRPr="00000000" w14:paraId="000001AD">
      <w:pPr>
        <w:numPr>
          <w:ilvl w:val="0"/>
          <w:numId w:val="1"/>
        </w:numPr>
        <w:spacing w:after="0" w:line="240" w:lineRule="auto"/>
        <w:ind w:left="720"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public investment corporations, venture capital companies, individuals or groups of individuals with a regular venture capital investment activity who invest equity capital in unquoted businesses ("business angels"), provided the total investment of those business angels in the same enterprise is less than EUR 1 250 000, </w:t>
      </w:r>
    </w:p>
    <w:p w:rsidR="00000000" w:rsidDel="00000000" w:rsidP="00000000" w:rsidRDefault="00000000" w:rsidRPr="00000000" w14:paraId="000001AE">
      <w:pPr>
        <w:numPr>
          <w:ilvl w:val="0"/>
          <w:numId w:val="1"/>
        </w:numPr>
        <w:spacing w:after="0" w:line="240" w:lineRule="auto"/>
        <w:ind w:left="720"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universities or non-profit research centres, </w:t>
      </w:r>
    </w:p>
    <w:p w:rsidR="00000000" w:rsidDel="00000000" w:rsidP="00000000" w:rsidRDefault="00000000" w:rsidRPr="00000000" w14:paraId="000001AF">
      <w:pPr>
        <w:numPr>
          <w:ilvl w:val="0"/>
          <w:numId w:val="1"/>
        </w:numPr>
        <w:spacing w:after="0" w:line="240" w:lineRule="auto"/>
        <w:ind w:left="720"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institutional investors, including regional development funds, </w:t>
      </w:r>
    </w:p>
    <w:p w:rsidR="00000000" w:rsidDel="00000000" w:rsidP="00000000" w:rsidRDefault="00000000" w:rsidRPr="00000000" w14:paraId="000001B0">
      <w:pPr>
        <w:numPr>
          <w:ilvl w:val="0"/>
          <w:numId w:val="1"/>
        </w:numPr>
        <w:spacing w:after="0" w:line="240" w:lineRule="auto"/>
        <w:ind w:left="720"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autonomous local authorities with an annual budget of less than EUR 10 million and less than 5000 inhabitants.</w:t>
      </w:r>
    </w:p>
    <w:p w:rsidR="00000000" w:rsidDel="00000000" w:rsidP="00000000" w:rsidRDefault="00000000" w:rsidRPr="00000000" w14:paraId="000001B1">
      <w:pPr>
        <w:spacing w:after="40" w:line="240" w:lineRule="auto"/>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(Definition, Article 3 paragraph 2, second sub-paragraph).</w:t>
      </w:r>
    </w:p>
  </w:footnote>
  <w:footnote w:id="4">
    <w:p w:rsidR="00000000" w:rsidDel="00000000" w:rsidP="00000000" w:rsidRDefault="00000000" w:rsidRPr="00000000" w14:paraId="000001B2">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w:t>
      </w:r>
      <w:r w:rsidDel="00000000" w:rsidR="00000000" w:rsidRPr="00000000">
        <w:rPr>
          <w:rFonts w:ascii="Montserrat Medium" w:cs="Montserrat Medium" w:eastAsia="Montserrat Medium" w:hAnsi="Montserrat Medium"/>
          <w:sz w:val="18"/>
          <w:szCs w:val="18"/>
          <w:rtl w:val="0"/>
        </w:rPr>
        <w:t xml:space="preserve">- If the registered office of the enterprise is situated in a Member State which has provided for an exception to the requirement to draw up such accounts pursuant to the Seventh Council Directive 83/349/EEC of 13 June 1983, the enterprise should nevertheless check specifically whether it does not meet one or other of the conditions laid down in Article 3 paragraph 3 of the Definition.</w:t>
      </w:r>
    </w:p>
    <w:p w:rsidR="00000000" w:rsidDel="00000000" w:rsidP="00000000" w:rsidRDefault="00000000" w:rsidRPr="00000000" w14:paraId="000001B3">
      <w:pPr>
        <w:spacing w:after="40" w:line="240" w:lineRule="auto"/>
        <w:ind w:firstLine="142"/>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There are also some very rare cases in which an enterprise may be considered linked to another enterprise through a person or a group of natural persons acting jointly (Definition, Article 3 paragraph 3). </w:t>
      </w:r>
    </w:p>
    <w:p w:rsidR="00000000" w:rsidDel="00000000" w:rsidP="00000000" w:rsidRDefault="00000000" w:rsidRPr="00000000" w14:paraId="000001B4">
      <w:pPr>
        <w:spacing w:after="40" w:line="240" w:lineRule="auto"/>
        <w:ind w:firstLine="142"/>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Conversely, there are very few cases of enterprises drawing up consolidated accounts voluntarily, without being required to do so under the Seventh Directive. In that case, the enterprise is not necessarily linked and can consider itself only a partner. </w:t>
      </w:r>
    </w:p>
    <w:p w:rsidR="00000000" w:rsidDel="00000000" w:rsidP="00000000" w:rsidRDefault="00000000" w:rsidRPr="00000000" w14:paraId="000001B5">
      <w:pPr>
        <w:spacing w:after="40" w:line="240" w:lineRule="auto"/>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To determine whether the enterprise is linked or not, in each of the three situations it should be checked whether or not the enterprise meets one or other of the conditions laid down in Article 3 paragraph 3 of the Definition, where applicable through a natural person or group of natural persons acting jointly.</w:t>
      </w:r>
    </w:p>
  </w:footnote>
  <w:footnote w:id="5">
    <w:p w:rsidR="00000000" w:rsidDel="00000000" w:rsidP="00000000" w:rsidRDefault="00000000" w:rsidRPr="00000000" w14:paraId="000001B6">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Seventh Council Directive 83/349/EEC of 13 June 1983, based on Article 54(3)(g) of the Treaty and concerning consolidated accounts (OJ L 193 of 18.7.1983, p. 1), as last amended by Directive 2001/65/EC of the European Parliament and of the Council (OJ L 283 of 27.10.2001, p. 28). </w:t>
      </w:r>
    </w:p>
  </w:footnote>
  <w:footnote w:id="6">
    <w:p w:rsidR="00000000" w:rsidDel="00000000" w:rsidP="00000000" w:rsidRDefault="00000000" w:rsidRPr="00000000" w14:paraId="000001B7">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Definition, Article 5.</w:t>
      </w:r>
    </w:p>
  </w:footnote>
  <w:footnote w:id="7">
    <w:p w:rsidR="00000000" w:rsidDel="00000000" w:rsidP="00000000" w:rsidRDefault="00000000" w:rsidRPr="00000000" w14:paraId="000001B8">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Definition, Article 6 paragraphs 2 and 3.</w:t>
      </w:r>
    </w:p>
  </w:footnote>
  <w:footnote w:id="8">
    <w:p w:rsidR="00000000" w:rsidDel="00000000" w:rsidP="00000000" w:rsidRDefault="00000000" w:rsidRPr="00000000" w14:paraId="000001B9">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All data must be relating to the last approved accounting period and calculated on an annual basis. In the case of newly-established enterprises whose accounts have not yet been approved, the data to apply shall be derived from a reliable estimate made in the course of the financial year (Definition, Article 4).</w:t>
      </w:r>
    </w:p>
  </w:footnote>
  <w:footnote w:id="9">
    <w:p w:rsidR="00000000" w:rsidDel="00000000" w:rsidP="00000000" w:rsidRDefault="00000000" w:rsidRPr="00000000" w14:paraId="000001BA">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The data of the enterprise, including the headcount, are determined on the basis of the accounts and other data of the enterprise or, where they exist, the consolidated accounts of the enterprise, or the consolidated accounts in which the enterprise is included through consolidation.</w:t>
      </w:r>
    </w:p>
  </w:footnote>
  <w:footnote w:id="10">
    <w:p w:rsidR="00000000" w:rsidDel="00000000" w:rsidP="00000000" w:rsidRDefault="00000000" w:rsidRPr="00000000" w14:paraId="000001BB">
      <w:pPr>
        <w:spacing w:after="40" w:line="240" w:lineRule="auto"/>
        <w:jc w:val="left"/>
        <w:rPr>
          <w:rFonts w:ascii="Montserrat Medium" w:cs="Montserrat Medium" w:eastAsia="Montserrat Medium" w:hAnsi="Montserrat Medium"/>
          <w:color w:val="012169"/>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To be determined by the Member State according to its needs.</w:t>
      </w:r>
    </w:p>
  </w:footnote>
  <w:footnote w:id="11">
    <w:p w:rsidR="00000000" w:rsidDel="00000000" w:rsidP="00000000" w:rsidRDefault="00000000" w:rsidRPr="00000000" w14:paraId="000001BC">
      <w:pPr>
        <w:spacing w:after="40" w:line="240" w:lineRule="auto"/>
        <w:jc w:val="left"/>
        <w:rPr>
          <w:rFonts w:ascii="Montserrat Medium" w:cs="Montserrat Medium" w:eastAsia="Montserrat Medium" w:hAnsi="Montserrat Medium"/>
          <w:color w:val="012169"/>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Chairman (CEO), Director-General or equivalent.</w:t>
      </w:r>
    </w:p>
  </w:footnote>
  <w:footnote w:id="12">
    <w:p w:rsidR="00000000" w:rsidDel="00000000" w:rsidP="00000000" w:rsidRDefault="00000000" w:rsidRPr="00000000" w14:paraId="000001BD">
      <w:pPr>
        <w:spacing w:after="40" w:line="240" w:lineRule="auto"/>
        <w:jc w:val="left"/>
        <w:rPr>
          <w:rFonts w:ascii="Montserrat Medium" w:cs="Montserrat Medium" w:eastAsia="Montserrat Medium" w:hAnsi="Montserrat Medium"/>
          <w:color w:val="012169"/>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Definition, Article 6 paragraph 3, first sub-paragraph.</w:t>
      </w:r>
    </w:p>
  </w:footnote>
  <w:footnote w:id="13">
    <w:p w:rsidR="00000000" w:rsidDel="00000000" w:rsidP="00000000" w:rsidRDefault="00000000" w:rsidRPr="00000000" w14:paraId="000001BE">
      <w:pPr>
        <w:spacing w:after="40" w:line="240" w:lineRule="auto"/>
        <w:jc w:val="left"/>
        <w:rPr>
          <w:rFonts w:ascii="Montserrat Medium" w:cs="Montserrat Medium" w:eastAsia="Montserrat Medium" w:hAnsi="Montserrat Medium"/>
          <w:color w:val="012169"/>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In terms of the share of the capital or voting rights, whichever is higher. To this holding should be added the holding of each linked enterprise in the same enterprise (Definition, Article 3 paragraph 2 first sub-paragraph).</w:t>
      </w:r>
    </w:p>
  </w:footnote>
  <w:footnote w:id="14">
    <w:p w:rsidR="00000000" w:rsidDel="00000000" w:rsidP="00000000" w:rsidRDefault="00000000" w:rsidRPr="00000000" w14:paraId="000001BF">
      <w:pPr>
        <w:spacing w:after="40" w:line="240" w:lineRule="auto"/>
        <w:jc w:val="left"/>
        <w:rPr>
          <w:rFonts w:ascii="Montserrat Medium" w:cs="Montserrat Medium" w:eastAsia="Montserrat Medium" w:hAnsi="Montserrat Medium"/>
          <w:color w:val="012169"/>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Definition, Article 6 paragraph 3, second sub-paragraph.</w:t>
      </w:r>
    </w:p>
  </w:footnote>
  <w:footnote w:id="15">
    <w:p w:rsidR="00000000" w:rsidDel="00000000" w:rsidP="00000000" w:rsidRDefault="00000000" w:rsidRPr="00000000" w14:paraId="000001C0">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w:t>
      </w:r>
      <w:r w:rsidDel="00000000" w:rsidR="00000000" w:rsidRPr="00000000">
        <w:rPr>
          <w:rFonts w:ascii="Montserrat Medium" w:cs="Montserrat Medium" w:eastAsia="Montserrat Medium" w:hAnsi="Montserrat Medium"/>
          <w:sz w:val="18"/>
          <w:szCs w:val="18"/>
          <w:rtl w:val="0"/>
        </w:rPr>
        <w:t xml:space="preserve">To be determined by the Member State according to its needs.</w:t>
      </w:r>
    </w:p>
  </w:footnote>
  <w:footnote w:id="16">
    <w:p w:rsidR="00000000" w:rsidDel="00000000" w:rsidP="00000000" w:rsidRDefault="00000000" w:rsidRPr="00000000" w14:paraId="000001C1">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color w:val="012169"/>
          <w:sz w:val="18"/>
          <w:szCs w:val="18"/>
          <w:rtl w:val="0"/>
        </w:rPr>
        <w:t xml:space="preserve"> </w:t>
      </w:r>
      <w:r w:rsidDel="00000000" w:rsidR="00000000" w:rsidRPr="00000000">
        <w:rPr>
          <w:rFonts w:ascii="Montserrat Medium" w:cs="Montserrat Medium" w:eastAsia="Montserrat Medium" w:hAnsi="Montserrat Medium"/>
          <w:sz w:val="18"/>
          <w:szCs w:val="18"/>
          <w:rtl w:val="0"/>
        </w:rPr>
        <w:t xml:space="preserve">Chairman (CEO), Director-General or equivalent.</w:t>
      </w:r>
    </w:p>
  </w:footnote>
  <w:footnote w:id="17">
    <w:p w:rsidR="00000000" w:rsidDel="00000000" w:rsidP="00000000" w:rsidRDefault="00000000" w:rsidRPr="00000000" w14:paraId="000001C2">
      <w:pPr>
        <w:spacing w:after="40" w:line="240" w:lineRule="auto"/>
        <w:jc w:val="left"/>
        <w:rPr>
          <w:rFonts w:ascii="Montserrat Medium" w:cs="Montserrat Medium" w:eastAsia="Montserrat Medium" w:hAnsi="Montserrat Medium"/>
          <w:sz w:val="18"/>
          <w:szCs w:val="18"/>
        </w:rPr>
      </w:pPr>
      <w:r w:rsidDel="00000000" w:rsidR="00000000" w:rsidRPr="00000000">
        <w:rPr>
          <w:rStyle w:val="FootnoteReference"/>
          <w:vertAlign w:val="superscript"/>
        </w:rPr>
        <w:footnoteRef/>
      </w:r>
      <w:r w:rsidDel="00000000" w:rsidR="00000000" w:rsidRPr="00000000">
        <w:rPr>
          <w:rFonts w:ascii="Montserrat Medium" w:cs="Montserrat Medium" w:eastAsia="Montserrat Medium" w:hAnsi="Montserrat Medium"/>
          <w:sz w:val="18"/>
          <w:szCs w:val="18"/>
          <w:rtl w:val="0"/>
        </w:rPr>
        <w:t xml:space="preserve"> If the data of an enterprise are included in the consolidated accounts to a lesser proportion than the one determined under Article 6 paragraph 2, the percentage rate according to that article should be applied (Definition, Article 6 paragraph 3, second sub-paragraph).</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C">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pPr>
    <w:bookmarkStart w:colFirst="0" w:colLast="0" w:name="_heading=h.1ci93xb" w:id="4"/>
    <w:bookmarkEnd w:id="4"/>
    <w:r w:rsidDel="00000000" w:rsidR="00000000" w:rsidRPr="00000000">
      <w:rPr>
        <w:color w:val="000000"/>
      </w:rPr>
      <w:drawing>
        <wp:anchor allowOverlap="1" behindDoc="0" distB="0" distT="0" distL="114300" distR="114300" hidden="0" layoutInCell="1" locked="0" relativeHeight="0" simplePos="0">
          <wp:simplePos x="0" y="0"/>
          <wp:positionH relativeFrom="margin">
            <wp:posOffset>5162550</wp:posOffset>
          </wp:positionH>
          <wp:positionV relativeFrom="page">
            <wp:posOffset>276225</wp:posOffset>
          </wp:positionV>
          <wp:extent cx="647065" cy="295275"/>
          <wp:effectExtent b="0" l="0" r="0" t="0"/>
          <wp:wrapTopAndBottom distB="0" distT="0"/>
          <wp:docPr descr="A logo with green and blue circles&#10;&#10;Description automatically generated" id="1146486604" name="image5.png"/>
          <a:graphic>
            <a:graphicData uri="http://schemas.openxmlformats.org/drawingml/2006/picture">
              <pic:pic>
                <pic:nvPicPr>
                  <pic:cNvPr descr="A logo with green and blue circles&#10;&#10;Description automatically generated" id="0" name="image5.png"/>
                  <pic:cNvPicPr preferRelativeResize="0"/>
                </pic:nvPicPr>
                <pic:blipFill>
                  <a:blip r:embed="rId1"/>
                  <a:srcRect b="0" l="0" r="0" t="0"/>
                  <a:stretch>
                    <a:fillRect/>
                  </a:stretch>
                </pic:blipFill>
                <pic:spPr>
                  <a:xfrm>
                    <a:off x="0" y="0"/>
                    <a:ext cx="647065" cy="295275"/>
                  </a:xfrm>
                  <a:prstGeom prst="rect"/>
                  <a:ln/>
                </pic:spPr>
              </pic:pic>
            </a:graphicData>
          </a:graphic>
        </wp:anchor>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247650</wp:posOffset>
          </wp:positionV>
          <wp:extent cx="1419225" cy="340360"/>
          <wp:effectExtent b="0" l="0" r="0" t="0"/>
          <wp:wrapTopAndBottom distB="0" distT="0"/>
          <wp:docPr descr="A black background with blue text&#10;&#10;Description automatically generated" id="1146486603" name="image2.png"/>
          <a:graphic>
            <a:graphicData uri="http://schemas.openxmlformats.org/drawingml/2006/picture">
              <pic:pic>
                <pic:nvPicPr>
                  <pic:cNvPr descr="A black background with blue text&#10;&#10;Description automatically generated" id="0" name="image2.png"/>
                  <pic:cNvPicPr preferRelativeResize="0"/>
                </pic:nvPicPr>
                <pic:blipFill>
                  <a:blip r:embed="rId2"/>
                  <a:srcRect b="0" l="0" r="0" t="0"/>
                  <a:stretch>
                    <a:fillRect/>
                  </a:stretch>
                </pic:blipFill>
                <pic:spPr>
                  <a:xfrm>
                    <a:off x="0" y="0"/>
                    <a:ext cx="1419225" cy="34036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D">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mc:AlternateContent>
        <mc:Choice Requires="wpg">
          <w:drawing>
            <wp:anchor allowOverlap="1" behindDoc="0" distB="45720" distT="45720" distL="114300" distR="114300" hidden="0" layoutInCell="1" locked="0" relativeHeight="0" simplePos="0">
              <wp:simplePos x="0" y="0"/>
              <wp:positionH relativeFrom="margin">
                <wp:posOffset>4662489</wp:posOffset>
              </wp:positionH>
              <wp:positionV relativeFrom="page">
                <wp:posOffset>274641</wp:posOffset>
              </wp:positionV>
              <wp:extent cx="1094105" cy="302895"/>
              <wp:effectExtent b="0" l="0" r="0" t="0"/>
              <wp:wrapTopAndBottom distB="45720" distT="45720"/>
              <wp:docPr id="1146486595" name=""/>
              <a:graphic>
                <a:graphicData uri="http://schemas.microsoft.com/office/word/2010/wordprocessingShape">
                  <wps:wsp>
                    <wps:cNvSpPr/>
                    <wps:cNvPr id="2" name="Shape 2"/>
                    <wps:spPr>
                      <a:xfrm>
                        <a:off x="4841810" y="3671415"/>
                        <a:ext cx="1008380" cy="2171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23f2e"/>
                              <w:sz w:val="16"/>
                              <w:vertAlign w:val="baseline"/>
                            </w:rPr>
                            <w:t xml:space="preserve">www.elias-ai.eu</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margin">
                <wp:posOffset>4662489</wp:posOffset>
              </wp:positionH>
              <wp:positionV relativeFrom="page">
                <wp:posOffset>274641</wp:posOffset>
              </wp:positionV>
              <wp:extent cx="1094105" cy="302895"/>
              <wp:effectExtent b="0" l="0" r="0" t="0"/>
              <wp:wrapTopAndBottom distB="45720" distT="45720"/>
              <wp:docPr id="1146486595"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094105" cy="302895"/>
                      </a:xfrm>
                      <a:prstGeom prst="rect"/>
                      <a:ln/>
                    </pic:spPr>
                  </pic:pic>
                </a:graphicData>
              </a:graphic>
            </wp:anchor>
          </w:drawing>
        </mc:Fallback>
      </mc:AlternateContent>
    </w:r>
    <w:r w:rsidDel="00000000" w:rsidR="00000000" w:rsidRPr="00000000">
      <w:rPr>
        <w:color w:val="000000"/>
      </w:rPr>
      <w:drawing>
        <wp:anchor allowOverlap="1" behindDoc="0" distB="0" distT="0" distL="114300" distR="114300" hidden="0" layoutInCell="1" locked="0" relativeHeight="0" simplePos="0">
          <wp:simplePos x="0" y="0"/>
          <wp:positionH relativeFrom="margin">
            <wp:align>left</wp:align>
          </wp:positionH>
          <wp:positionV relativeFrom="page">
            <wp:posOffset>312420</wp:posOffset>
          </wp:positionV>
          <wp:extent cx="619125" cy="278130"/>
          <wp:effectExtent b="0" l="0" r="0" t="0"/>
          <wp:wrapTopAndBottom distB="0" distT="0"/>
          <wp:docPr descr="A logo with green and blue circles&#10;&#10;Description automatically generated" id="1146486606" name="image5.png"/>
          <a:graphic>
            <a:graphicData uri="http://schemas.openxmlformats.org/drawingml/2006/picture">
              <pic:pic>
                <pic:nvPicPr>
                  <pic:cNvPr descr="A logo with green and blue circles&#10;&#10;Description automatically generated" id="0" name="image5.png"/>
                  <pic:cNvPicPr preferRelativeResize="0"/>
                </pic:nvPicPr>
                <pic:blipFill>
                  <a:blip r:embed="rId2"/>
                  <a:srcRect b="0" l="0" r="0" t="0"/>
                  <a:stretch>
                    <a:fillRect/>
                  </a:stretch>
                </pic:blipFill>
                <pic:spPr>
                  <a:xfrm>
                    <a:off x="0" y="0"/>
                    <a:ext cx="619125" cy="278130"/>
                  </a:xfrm>
                  <a:prstGeom prst="rect"/>
                  <a:ln/>
                </pic:spPr>
              </pic:pic>
            </a:graphicData>
          </a:graphic>
        </wp:anchor>
      </w:drawing>
    </w:r>
    <w:r w:rsidDel="00000000" w:rsidR="00000000" w:rsidRPr="00000000">
      <w:rPr>
        <w:color w:val="000000"/>
      </w:rPr>
      <mc:AlternateContent>
        <mc:Choice Requires="wpg">
          <w:drawing>
            <wp:anchor allowOverlap="1" behindDoc="0" distB="45720" distT="45720" distL="114300" distR="114300" hidden="0" layoutInCell="1" locked="0" relativeHeight="0" simplePos="0">
              <wp:simplePos x="0" y="0"/>
              <wp:positionH relativeFrom="margin">
                <wp:align>center</wp:align>
              </wp:positionH>
              <wp:positionV relativeFrom="page">
                <wp:posOffset>274641</wp:posOffset>
              </wp:positionV>
              <wp:extent cx="2914015" cy="302895"/>
              <wp:effectExtent b="0" l="0" r="0" t="0"/>
              <wp:wrapTopAndBottom distB="45720" distT="45720"/>
              <wp:docPr id="1146486596" name=""/>
              <a:graphic>
                <a:graphicData uri="http://schemas.microsoft.com/office/word/2010/wordprocessingShape">
                  <wps:wsp>
                    <wps:cNvSpPr/>
                    <wps:cNvPr id="3" name="Shape 3"/>
                    <wps:spPr>
                      <a:xfrm>
                        <a:off x="3931855" y="3671415"/>
                        <a:ext cx="2828290" cy="2171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23f2e"/>
                              <w:sz w:val="16"/>
                              <w:vertAlign w:val="baseline"/>
                            </w:rPr>
                            <w:t xml:space="preserve">101120237 — ELIAS — HORIZON-CL4-2022-HUMAN-02</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margin">
                <wp:align>center</wp:align>
              </wp:positionH>
              <wp:positionV relativeFrom="page">
                <wp:posOffset>274641</wp:posOffset>
              </wp:positionV>
              <wp:extent cx="2914015" cy="302895"/>
              <wp:effectExtent b="0" l="0" r="0" t="0"/>
              <wp:wrapTopAndBottom distB="45720" distT="45720"/>
              <wp:docPr id="114648659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2914015" cy="302895"/>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E">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upperRoman"/>
      <w:lvlText w:val="%1."/>
      <w:lvlJc w:val="left"/>
      <w:pPr>
        <w:ind w:left="108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Poppins" w:cs="Poppins" w:eastAsia="Poppins" w:hAnsi="Poppins"/>
        <w:lang w:val="en-GB"/>
      </w:rPr>
    </w:rPrDefault>
    <w:pPrDefault>
      <w:pPr>
        <w:spacing w:after="20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hd w:fill="023f2e" w:val="clear"/>
      <w:spacing w:after="120" w:before="120" w:lineRule="auto"/>
      <w:ind w:left="432" w:hanging="432"/>
      <w:jc w:val="left"/>
    </w:pPr>
    <w:rPr>
      <w:b w:val="1"/>
      <w:color w:val="ffffff"/>
      <w:sz w:val="24"/>
      <w:szCs w:val="24"/>
    </w:rPr>
  </w:style>
  <w:style w:type="paragraph" w:styleId="Heading2">
    <w:name w:val="heading 2"/>
    <w:basedOn w:val="Normal"/>
    <w:next w:val="Normal"/>
    <w:pPr>
      <w:shd w:fill="00bf63" w:val="clear"/>
      <w:spacing w:after="120" w:before="120" w:lineRule="auto"/>
      <w:ind w:left="809" w:hanging="576"/>
      <w:jc w:val="left"/>
    </w:pPr>
    <w:rPr>
      <w:b w:val="1"/>
      <w:sz w:val="24"/>
      <w:szCs w:val="24"/>
    </w:rPr>
  </w:style>
  <w:style w:type="paragraph" w:styleId="Heading3">
    <w:name w:val="heading 3"/>
    <w:basedOn w:val="Normal"/>
    <w:next w:val="Normal"/>
    <w:pPr>
      <w:spacing w:after="120" w:before="120" w:lineRule="auto"/>
      <w:ind w:left="1288" w:hanging="719"/>
      <w:jc w:val="left"/>
    </w:pPr>
    <w:rPr>
      <w:b w:val="1"/>
      <w:sz w:val="22"/>
      <w:szCs w:val="22"/>
    </w:rPr>
  </w:style>
  <w:style w:type="paragraph" w:styleId="Heading4">
    <w:name w:val="heading 4"/>
    <w:basedOn w:val="Normal"/>
    <w:next w:val="Normal"/>
    <w:pPr>
      <w:spacing w:after="120" w:before="120" w:lineRule="auto"/>
      <w:ind w:left="1857" w:hanging="864.0000000000002"/>
      <w:jc w:val="left"/>
    </w:pPr>
    <w:rPr>
      <w:b w:val="1"/>
      <w:i w:val="1"/>
    </w:rPr>
  </w:style>
  <w:style w:type="paragraph" w:styleId="Heading5">
    <w:name w:val="heading 5"/>
    <w:basedOn w:val="Normal"/>
    <w:next w:val="Normal"/>
    <w:pPr>
      <w:spacing w:after="0" w:lineRule="auto"/>
      <w:jc w:val="left"/>
    </w:pPr>
    <w:rPr>
      <w:smallCaps w:val="1"/>
      <w:color w:val="008f4a"/>
      <w:sz w:val="22"/>
      <w:szCs w:val="22"/>
    </w:rPr>
  </w:style>
  <w:style w:type="paragraph" w:styleId="Heading6">
    <w:name w:val="heading 6"/>
    <w:basedOn w:val="Normal"/>
    <w:next w:val="Normal"/>
    <w:pPr>
      <w:spacing w:after="0" w:lineRule="auto"/>
      <w:jc w:val="left"/>
    </w:pPr>
    <w:rPr>
      <w:smallCaps w:val="1"/>
      <w:color w:val="00bf63"/>
      <w:sz w:val="22"/>
      <w:szCs w:val="22"/>
    </w:rPr>
  </w:style>
  <w:style w:type="paragraph" w:styleId="Title">
    <w:name w:val="Title"/>
    <w:basedOn w:val="Normal"/>
    <w:next w:val="Normal"/>
    <w:pPr>
      <w:pBdr>
        <w:top w:color="00bf63" w:space="1" w:sz="8" w:val="single"/>
      </w:pBdr>
      <w:spacing w:after="120" w:line="240" w:lineRule="auto"/>
      <w:jc w:val="right"/>
    </w:pPr>
    <w:rPr>
      <w:b w:val="1"/>
      <w:color w:val="262626"/>
      <w:sz w:val="36"/>
      <w:szCs w:val="36"/>
    </w:rPr>
  </w:style>
  <w:style w:type="paragraph" w:styleId="Normal" w:default="1">
    <w:name w:val="normal"/>
  </w:style>
  <w:style w:type="table" w:styleId="TableNormal" w:default="1">
    <w:name w:val="Table Normal"/>
  </w:style>
  <w:style w:type="paragraph" w:styleId="Heading1">
    <w:name w:val="heading 1"/>
    <w:basedOn w:val="Normal"/>
    <w:next w:val="Normal"/>
    <w:pPr>
      <w:shd w:fill="023f2e" w:val="clear"/>
      <w:spacing w:after="120" w:before="120" w:lineRule="auto"/>
      <w:ind w:left="432" w:hanging="432"/>
      <w:jc w:val="left"/>
    </w:pPr>
    <w:rPr>
      <w:b w:val="1"/>
      <w:color w:val="ffffff"/>
      <w:sz w:val="24"/>
      <w:szCs w:val="24"/>
    </w:rPr>
  </w:style>
  <w:style w:type="paragraph" w:styleId="Heading2">
    <w:name w:val="heading 2"/>
    <w:basedOn w:val="Normal"/>
    <w:next w:val="Normal"/>
    <w:pPr>
      <w:shd w:fill="00bf63" w:val="clear"/>
      <w:spacing w:after="120" w:before="120" w:lineRule="auto"/>
      <w:ind w:left="809" w:hanging="576"/>
      <w:jc w:val="left"/>
    </w:pPr>
    <w:rPr>
      <w:b w:val="1"/>
      <w:sz w:val="24"/>
      <w:szCs w:val="24"/>
    </w:rPr>
  </w:style>
  <w:style w:type="paragraph" w:styleId="Heading3">
    <w:name w:val="heading 3"/>
    <w:basedOn w:val="Normal"/>
    <w:next w:val="Normal"/>
    <w:pPr>
      <w:spacing w:after="120" w:before="120" w:lineRule="auto"/>
      <w:ind w:left="1288" w:hanging="719"/>
      <w:jc w:val="left"/>
    </w:pPr>
    <w:rPr>
      <w:b w:val="1"/>
      <w:sz w:val="22"/>
      <w:szCs w:val="22"/>
    </w:rPr>
  </w:style>
  <w:style w:type="paragraph" w:styleId="Heading4">
    <w:name w:val="heading 4"/>
    <w:basedOn w:val="Normal"/>
    <w:next w:val="Normal"/>
    <w:pPr>
      <w:spacing w:after="120" w:before="120" w:lineRule="auto"/>
      <w:ind w:left="1857" w:hanging="864"/>
      <w:jc w:val="left"/>
    </w:pPr>
    <w:rPr>
      <w:b w:val="1"/>
      <w:i w:val="1"/>
    </w:rPr>
  </w:style>
  <w:style w:type="paragraph" w:styleId="Heading5">
    <w:name w:val="heading 5"/>
    <w:basedOn w:val="Normal"/>
    <w:next w:val="Normal"/>
    <w:pPr>
      <w:spacing w:after="0" w:lineRule="auto"/>
      <w:jc w:val="left"/>
    </w:pPr>
    <w:rPr>
      <w:smallCaps w:val="1"/>
      <w:color w:val="008f4a"/>
      <w:sz w:val="22"/>
      <w:szCs w:val="22"/>
    </w:rPr>
  </w:style>
  <w:style w:type="paragraph" w:styleId="Heading6">
    <w:name w:val="heading 6"/>
    <w:basedOn w:val="Normal"/>
    <w:next w:val="Normal"/>
    <w:pPr>
      <w:spacing w:after="0" w:lineRule="auto"/>
      <w:jc w:val="left"/>
    </w:pPr>
    <w:rPr>
      <w:smallCaps w:val="1"/>
      <w:color w:val="00bf63"/>
      <w:sz w:val="22"/>
      <w:szCs w:val="22"/>
    </w:rPr>
  </w:style>
  <w:style w:type="paragraph" w:styleId="Title">
    <w:name w:val="Title"/>
    <w:basedOn w:val="Normal"/>
    <w:next w:val="Normal"/>
    <w:pPr>
      <w:pBdr>
        <w:top w:color="00bf63" w:space="1" w:sz="8" w:val="single"/>
      </w:pBdr>
      <w:spacing w:after="120" w:line="240" w:lineRule="auto"/>
      <w:jc w:val="right"/>
    </w:pPr>
    <w:rPr>
      <w:b w:val="1"/>
      <w:color w:val="262626"/>
      <w:sz w:val="36"/>
      <w:szCs w:val="36"/>
    </w:rPr>
  </w:style>
  <w:style w:type="paragraph" w:styleId="Normal" w:default="1">
    <w:name w:val="Normal"/>
    <w:qFormat w:val="1"/>
  </w:style>
  <w:style w:type="paragraph" w:styleId="Heading1">
    <w:name w:val="heading 1"/>
    <w:basedOn w:val="Normal"/>
    <w:next w:val="Normal"/>
    <w:uiPriority w:val="9"/>
    <w:qFormat w:val="1"/>
    <w:rsid w:val="002E7338"/>
    <w:pPr>
      <w:numPr>
        <w:numId w:val="1"/>
      </w:numPr>
      <w:shd w:color="auto" w:fill="023f2e" w:val="clear"/>
      <w:spacing w:after="120" w:before="120"/>
      <w:jc w:val="left"/>
      <w:outlineLvl w:val="0"/>
    </w:pPr>
    <w:rPr>
      <w:b w:val="1"/>
      <w:color w:val="ffffff" w:themeColor="background1"/>
      <w:sz w:val="24"/>
      <w:szCs w:val="24"/>
    </w:rPr>
  </w:style>
  <w:style w:type="paragraph" w:styleId="Heading2">
    <w:name w:val="heading 2"/>
    <w:basedOn w:val="Normal"/>
    <w:next w:val="Normal"/>
    <w:uiPriority w:val="9"/>
    <w:unhideWhenUsed w:val="1"/>
    <w:qFormat w:val="1"/>
    <w:rsid w:val="00FE4D34"/>
    <w:pPr>
      <w:numPr>
        <w:ilvl w:val="1"/>
        <w:numId w:val="1"/>
      </w:numPr>
      <w:shd w:color="auto" w:fill="00bf63" w:val="clear"/>
      <w:spacing w:after="120" w:before="120"/>
      <w:jc w:val="left"/>
      <w:outlineLvl w:val="1"/>
    </w:pPr>
    <w:rPr>
      <w:b w:val="1"/>
      <w:sz w:val="24"/>
      <w:szCs w:val="24"/>
    </w:rPr>
  </w:style>
  <w:style w:type="paragraph" w:styleId="Heading3">
    <w:name w:val="heading 3"/>
    <w:basedOn w:val="Normal"/>
    <w:next w:val="Normal"/>
    <w:uiPriority w:val="9"/>
    <w:unhideWhenUsed w:val="1"/>
    <w:qFormat w:val="1"/>
    <w:rsid w:val="00FE4D34"/>
    <w:pPr>
      <w:numPr>
        <w:ilvl w:val="2"/>
        <w:numId w:val="1"/>
      </w:numPr>
      <w:spacing w:after="120" w:before="120"/>
      <w:jc w:val="left"/>
      <w:outlineLvl w:val="2"/>
    </w:pPr>
    <w:rPr>
      <w:b w:val="1"/>
      <w:sz w:val="22"/>
      <w:szCs w:val="22"/>
    </w:rPr>
  </w:style>
  <w:style w:type="paragraph" w:styleId="Heading4">
    <w:name w:val="heading 4"/>
    <w:basedOn w:val="Normal"/>
    <w:next w:val="Normal"/>
    <w:uiPriority w:val="9"/>
    <w:unhideWhenUsed w:val="1"/>
    <w:qFormat w:val="1"/>
    <w:rsid w:val="00DF1074"/>
    <w:pPr>
      <w:numPr>
        <w:ilvl w:val="3"/>
        <w:numId w:val="1"/>
      </w:numPr>
      <w:spacing w:after="120" w:before="120"/>
      <w:jc w:val="left"/>
      <w:outlineLvl w:val="3"/>
    </w:pPr>
    <w:rPr>
      <w:b w:val="1"/>
      <w:i w:val="1"/>
      <w:iCs w:val="1"/>
    </w:rPr>
  </w:style>
  <w:style w:type="paragraph" w:styleId="Heading5">
    <w:name w:val="heading 5"/>
    <w:basedOn w:val="Normal"/>
    <w:next w:val="Normal"/>
    <w:uiPriority w:val="9"/>
    <w:semiHidden w:val="1"/>
    <w:unhideWhenUsed w:val="1"/>
    <w:qFormat w:val="1"/>
    <w:pPr>
      <w:spacing w:after="0"/>
      <w:jc w:val="left"/>
      <w:outlineLvl w:val="4"/>
    </w:pPr>
    <w:rPr>
      <w:smallCaps w:val="1"/>
      <w:color w:val="008f4a"/>
      <w:sz w:val="22"/>
      <w:szCs w:val="22"/>
    </w:rPr>
  </w:style>
  <w:style w:type="paragraph" w:styleId="Heading6">
    <w:name w:val="heading 6"/>
    <w:basedOn w:val="Normal"/>
    <w:next w:val="Normal"/>
    <w:uiPriority w:val="9"/>
    <w:semiHidden w:val="1"/>
    <w:unhideWhenUsed w:val="1"/>
    <w:qFormat w:val="1"/>
    <w:pPr>
      <w:spacing w:after="0"/>
      <w:jc w:val="left"/>
      <w:outlineLvl w:val="5"/>
    </w:pPr>
    <w:rPr>
      <w:smallCaps w:val="1"/>
      <w:color w:val="00bf63"/>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A8482C"/>
    <w:pPr>
      <w:pBdr>
        <w:top w:color="00bf63" w:space="1" w:sz="8" w:val="single"/>
      </w:pBdr>
      <w:spacing w:after="120" w:line="240" w:lineRule="auto"/>
      <w:jc w:val="right"/>
    </w:pPr>
    <w:rPr>
      <w:b w:val="1"/>
      <w:color w:val="262626"/>
      <w:sz w:val="36"/>
      <w:szCs w:val="36"/>
    </w:rPr>
  </w:style>
  <w:style w:type="paragraph" w:styleId="Subtitle">
    <w:name w:val="Subtitle"/>
    <w:basedOn w:val="Normal"/>
    <w:next w:val="Normal"/>
    <w:uiPriority w:val="11"/>
    <w:qFormat w:val="1"/>
    <w:rsid w:val="00A8482C"/>
    <w:pPr>
      <w:pBdr>
        <w:top w:color="00bf63" w:space="1" w:sz="8" w:val="single"/>
      </w:pBdr>
      <w:spacing w:after="120" w:line="240" w:lineRule="auto"/>
      <w:jc w:val="right"/>
    </w:pPr>
    <w:rPr>
      <w:b w:val="1"/>
      <w:color w:val="262626"/>
      <w:sz w:val="32"/>
      <w:szCs w:val="32"/>
    </w:rPr>
  </w:style>
  <w:style w:type="table" w:styleId="a"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Col">
      <w:rPr>
        <w:rFonts w:ascii="Poppins" w:cs="Poppins" w:eastAsia="Poppins" w:hAnsi="Poppins"/>
        <w:b w:val="1"/>
      </w:rPr>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023f2e" w:val="clear"/>
      </w:tcPr>
    </w:tblStylePr>
  </w:style>
  <w:style w:type="table" w:styleId="a0"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Col">
      <w:rPr>
        <w:rFonts w:ascii="Poppins" w:cs="Poppins" w:eastAsia="Poppins" w:hAnsi="Poppins"/>
        <w:b w:val="1"/>
      </w:rPr>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023f2e" w:val="clear"/>
      </w:tcPr>
    </w:tblStylePr>
  </w:style>
  <w:style w:type="table" w:styleId="a1"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rFonts w:ascii="Poppins" w:cs="Poppins" w:eastAsia="Poppins" w:hAnsi="Poppins"/>
        <w:b w:val="1"/>
        <w:sz w:val="20"/>
        <w:szCs w:val="20"/>
      </w:rPr>
      <w:tblPr/>
      <w:tcPr>
        <w:shd w:color="auto" w:fill="023f2e" w:val="clear"/>
      </w:tcPr>
    </w:tblStylePr>
    <w:tblStylePr w:type="band1Horz">
      <w:tblPr/>
      <w:tcPr>
        <w:shd w:color="auto" w:fill="f2f2f2" w:val="clear"/>
      </w:tcPr>
    </w:tblStylePr>
    <w:tblStylePr w:type="band2Horz">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d9d9d9" w:val="clear"/>
      </w:tcPr>
    </w:tblStylePr>
  </w:style>
  <w:style w:type="table" w:styleId="a2"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rFonts w:ascii="Poppins" w:cs="Poppins" w:eastAsia="Poppins" w:hAnsi="Poppins"/>
        <w:b w:val="1"/>
        <w:sz w:val="20"/>
        <w:szCs w:val="20"/>
      </w:rPr>
      <w:tblPr/>
      <w:tcPr>
        <w:shd w:color="auto" w:fill="023f2e" w:val="clear"/>
      </w:tcPr>
    </w:tblStylePr>
    <w:tblStylePr w:type="band1Horz">
      <w:tblPr/>
      <w:tcPr>
        <w:shd w:color="auto" w:fill="f2f2f2" w:val="clear"/>
      </w:tcPr>
    </w:tblStylePr>
    <w:tblStylePr w:type="band2Horz">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d9d9d9" w:val="clear"/>
      </w:tcPr>
    </w:tblStylePr>
  </w:style>
  <w:style w:type="table" w:styleId="a3"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rFonts w:ascii="Poppins" w:cs="Poppins" w:eastAsia="Poppins" w:hAnsi="Poppins"/>
        <w:b w:val="1"/>
        <w:sz w:val="20"/>
        <w:szCs w:val="20"/>
      </w:rPr>
      <w:tblPr/>
      <w:tcPr>
        <w:shd w:color="auto" w:fill="023f2e" w:val="clear"/>
      </w:tcPr>
    </w:tblStylePr>
    <w:tblStylePr w:type="band1Horz">
      <w:tblPr/>
      <w:tcPr>
        <w:shd w:color="auto" w:fill="f2f2f2" w:val="clear"/>
      </w:tcPr>
    </w:tblStylePr>
    <w:tblStylePr w:type="band2Horz">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d9d9d9" w:val="clear"/>
      </w:tcPr>
    </w:tblStylePr>
  </w:style>
  <w:style w:type="table" w:styleId="a4"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rFonts w:ascii="Poppins" w:cs="Poppins" w:eastAsia="Poppins" w:hAnsi="Poppins"/>
        <w:b w:val="1"/>
        <w:sz w:val="20"/>
        <w:szCs w:val="20"/>
      </w:rPr>
      <w:tblPr/>
      <w:tcPr>
        <w:shd w:color="auto" w:fill="023f2e" w:val="clear"/>
      </w:tcPr>
    </w:tblStylePr>
    <w:tblStylePr w:type="band2Vert">
      <w:tblPr/>
      <w:tcPr>
        <w:shd w:color="auto" w:fill="d9d9d9" w:val="clear"/>
      </w:tcPr>
    </w:tblStylePr>
  </w:style>
  <w:style w:type="table" w:styleId="a5"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rFonts w:ascii="Poppins" w:cs="Poppins" w:eastAsia="Poppins" w:hAnsi="Poppins"/>
        <w:b w:val="1"/>
        <w:sz w:val="20"/>
        <w:szCs w:val="20"/>
      </w:rPr>
      <w:tblPr/>
      <w:tcPr>
        <w:shd w:color="auto" w:fill="023f2e" w:val="clear"/>
      </w:tcPr>
    </w:tblStylePr>
    <w:tblStylePr w:type="band1Horz">
      <w:tblPr/>
      <w:tcPr>
        <w:shd w:color="auto" w:fill="f2f2f2" w:val="clear"/>
      </w:tcPr>
    </w:tblStylePr>
    <w:tblStylePr w:type="band2Horz">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d9d9d9" w:val="clear"/>
      </w:tcPr>
    </w:tblStylePr>
  </w:style>
  <w:style w:type="table" w:styleId="a6"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Row">
      <w:rPr>
        <w:b w:val="1"/>
      </w:rPr>
      <w:tblPr/>
      <w:tcPr>
        <w:shd w:color="auto" w:fill="023f2e" w:val="clear"/>
      </w:tcPr>
    </w:tblStylePr>
    <w:tblStylePr w:type="firstCol">
      <w:rPr>
        <w:b w:val="1"/>
      </w:rPr>
      <w:tblPr/>
      <w:tcPr>
        <w:shd w:color="auto" w:fill="00bf63" w:val="clear"/>
      </w:tcPr>
    </w:tblStylePr>
    <w:tblStylePr w:type="nwCell">
      <w:tblPr/>
      <w:tcPr>
        <w:tcBorders>
          <w:top w:space="0" w:sz="0" w:val="nil"/>
          <w:left w:space="0" w:sz="0" w:val="nil"/>
          <w:bottom w:space="0" w:sz="0" w:val="nil"/>
          <w:right w:space="0" w:sz="0" w:val="nil"/>
          <w:insideH w:space="0" w:sz="0" w:val="nil"/>
          <w:insideV w:space="0" w:sz="0" w:val="nil"/>
        </w:tcBorders>
        <w:shd w:color="auto" w:fill="f5f5f5" w:val="clear"/>
      </w:tcPr>
    </w:tblStylePr>
  </w:style>
  <w:style w:type="table" w:styleId="a7"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tblStylePr w:type="firstCol">
      <w:rPr>
        <w:rFonts w:ascii="Poppins" w:cs="Poppins" w:eastAsia="Poppins" w:hAnsi="Poppins"/>
        <w:b w:val="1"/>
      </w:rPr>
      <w:tbl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color="auto" w:fill="023f2e" w:val="clear"/>
      </w:tcPr>
    </w:tblStylePr>
  </w:style>
  <w:style w:type="table" w:styleId="a8" w:customStyle="1">
    <w:basedOn w:val="TableNormal"/>
    <w:pPr>
      <w:spacing w:after="0" w:line="240" w:lineRule="auto"/>
      <w:jc w:val="left"/>
    </w:pPr>
    <w:tblPr>
      <w:tblStyleRowBandSize w:val="1"/>
      <w:tblStyleColBandSize w:val="1"/>
      <w:tblCellMar>
        <w:left w:w="115.0" w:type="dxa"/>
        <w:right w:w="115.0" w:type="dxa"/>
      </w:tblCellMar>
    </w:tblPr>
    <w:tcPr>
      <w:shd w:color="auto" w:fill="d9d9d9" w:val="clear"/>
    </w:tcPr>
  </w:style>
  <w:style w:type="paragraph" w:styleId="CommentText">
    <w:name w:val="annotation text"/>
    <w:basedOn w:val="Normal"/>
    <w:link w:val="CommentTextChar"/>
    <w:uiPriority w:val="99"/>
    <w:unhideWhenUsed w:val="1"/>
    <w:pPr>
      <w:spacing w:line="240" w:lineRule="auto"/>
    </w:pPr>
  </w:style>
  <w:style w:type="character" w:styleId="CommentTextChar" w:customStyle="1">
    <w:name w:val="Comment Text Char"/>
    <w:basedOn w:val="DefaultParagraphFont"/>
    <w:link w:val="CommentText"/>
    <w:uiPriority w:val="99"/>
  </w:style>
  <w:style w:type="character" w:styleId="CommentReference">
    <w:name w:val="annotation reference"/>
    <w:basedOn w:val="DefaultParagraphFont"/>
    <w:uiPriority w:val="99"/>
    <w:semiHidden w:val="1"/>
    <w:unhideWhenUsed w:val="1"/>
    <w:rPr>
      <w:sz w:val="16"/>
      <w:szCs w:val="16"/>
    </w:rPr>
  </w:style>
  <w:style w:type="paragraph" w:styleId="TOC1">
    <w:name w:val="toc 1"/>
    <w:basedOn w:val="Normal"/>
    <w:next w:val="Normal"/>
    <w:autoRedefine w:val="1"/>
    <w:uiPriority w:val="39"/>
    <w:unhideWhenUsed w:val="1"/>
    <w:rsid w:val="00FE4D34"/>
    <w:pPr>
      <w:spacing w:after="100"/>
    </w:pPr>
    <w:rPr>
      <w:b w:val="1"/>
    </w:rPr>
  </w:style>
  <w:style w:type="paragraph" w:styleId="TOC2">
    <w:name w:val="toc 2"/>
    <w:basedOn w:val="Normal"/>
    <w:next w:val="Normal"/>
    <w:autoRedefine w:val="1"/>
    <w:uiPriority w:val="39"/>
    <w:unhideWhenUsed w:val="1"/>
    <w:rsid w:val="00FE4D34"/>
    <w:pPr>
      <w:spacing w:after="100"/>
      <w:ind w:left="200"/>
    </w:pPr>
  </w:style>
  <w:style w:type="paragraph" w:styleId="TOC3">
    <w:name w:val="toc 3"/>
    <w:basedOn w:val="Normal"/>
    <w:next w:val="Normal"/>
    <w:autoRedefine w:val="1"/>
    <w:uiPriority w:val="39"/>
    <w:unhideWhenUsed w:val="1"/>
    <w:rsid w:val="00FE4D34"/>
    <w:pPr>
      <w:spacing w:after="100"/>
      <w:ind w:left="400"/>
    </w:pPr>
  </w:style>
  <w:style w:type="character" w:styleId="Hyperlink">
    <w:name w:val="Hyperlink"/>
    <w:basedOn w:val="DefaultParagraphFont"/>
    <w:uiPriority w:val="99"/>
    <w:unhideWhenUsed w:val="1"/>
    <w:rsid w:val="00FE4D34"/>
    <w:rPr>
      <w:color w:val="034b92" w:themeColor="hyperlink"/>
      <w:u w:val="single"/>
    </w:rPr>
  </w:style>
  <w:style w:type="paragraph" w:styleId="Caption">
    <w:name w:val="caption"/>
    <w:basedOn w:val="Normal"/>
    <w:next w:val="Normal"/>
    <w:uiPriority w:val="35"/>
    <w:unhideWhenUsed w:val="1"/>
    <w:qFormat w:val="1"/>
    <w:rsid w:val="00FE4D34"/>
    <w:pPr>
      <w:pBdr>
        <w:top w:space="0" w:sz="0" w:val="nil"/>
        <w:left w:space="0" w:sz="0" w:val="nil"/>
        <w:bottom w:space="0" w:sz="0" w:val="nil"/>
        <w:right w:space="0" w:sz="0" w:val="nil"/>
        <w:between w:space="0" w:sz="0" w:val="nil"/>
      </w:pBdr>
      <w:spacing w:after="120" w:before="120" w:line="240" w:lineRule="auto"/>
      <w:jc w:val="center"/>
    </w:pPr>
    <w:rPr>
      <w:b w:val="1"/>
      <w:color w:val="000000"/>
      <w:sz w:val="16"/>
      <w:szCs w:val="16"/>
    </w:rPr>
  </w:style>
  <w:style w:type="paragraph" w:styleId="TOC4">
    <w:name w:val="toc 4"/>
    <w:basedOn w:val="Normal"/>
    <w:next w:val="Normal"/>
    <w:autoRedefine w:val="1"/>
    <w:uiPriority w:val="39"/>
    <w:unhideWhenUsed w:val="1"/>
    <w:rsid w:val="00FE4D34"/>
    <w:pPr>
      <w:spacing w:after="100"/>
      <w:ind w:left="600"/>
    </w:pPr>
  </w:style>
  <w:style w:type="paragraph" w:styleId="TableofFigures">
    <w:name w:val="table of figures"/>
    <w:basedOn w:val="Normal"/>
    <w:next w:val="Normal"/>
    <w:uiPriority w:val="99"/>
    <w:unhideWhenUsed w:val="1"/>
    <w:rsid w:val="00FE4D34"/>
    <w:pPr>
      <w:spacing w:after="0"/>
    </w:pPr>
    <w:rPr>
      <w:i w:val="1"/>
    </w:rPr>
  </w:style>
  <w:style w:type="paragraph" w:styleId="ListParagraph">
    <w:name w:val="List Paragraph"/>
    <w:basedOn w:val="Normal"/>
    <w:uiPriority w:val="34"/>
    <w:qFormat w:val="1"/>
    <w:rsid w:val="008147E8"/>
    <w:pPr>
      <w:ind w:left="720"/>
      <w:contextualSpacing w:val="1"/>
    </w:pPr>
  </w:style>
  <w:style w:type="paragraph" w:styleId="NormalWeb">
    <w:name w:val="Normal (Web)"/>
    <w:basedOn w:val="Normal"/>
    <w:uiPriority w:val="99"/>
    <w:semiHidden w:val="1"/>
    <w:unhideWhenUsed w:val="1"/>
    <w:rsid w:val="00AA7DB5"/>
    <w:rPr>
      <w:rFonts w:ascii="Times New Roman" w:cs="Times New Roman" w:hAnsi="Times New Roman"/>
      <w:sz w:val="24"/>
      <w:szCs w:val="24"/>
    </w:rPr>
  </w:style>
  <w:style w:type="character" w:styleId="Strong">
    <w:name w:val="Strong"/>
    <w:basedOn w:val="DefaultParagraphFont"/>
    <w:uiPriority w:val="22"/>
    <w:qFormat w:val="1"/>
    <w:rsid w:val="00092EE8"/>
    <w:rPr>
      <w:b w:val="1"/>
      <w:bCs w:val="1"/>
    </w:rPr>
  </w:style>
  <w:style w:type="table" w:styleId="GridTable5Dark-Accent4">
    <w:name w:val="Grid Table 5 Dark Accent 4"/>
    <w:basedOn w:val="TableNormal"/>
    <w:uiPriority w:val="50"/>
    <w:rsid w:val="00090B06"/>
    <w:pPr>
      <w:spacing w:after="0" w:line="240" w:lineRule="auto"/>
    </w:pPr>
    <w:tblPr>
      <w:tblStyleRowBandSize w:val="1"/>
      <w:tblStyleColBandSize w:val="1"/>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cPr>
      <w:shd w:color="auto" w:fill="baffec" w:themeFill="accent4" w:themeFillTint="000033" w:val="clear"/>
    </w:tcPr>
    <w:tblStylePr w:type="firstRow">
      <w:rPr>
        <w:b w:val="1"/>
        <w:bCs w:val="1"/>
        <w:color w:val="ffffff" w:themeColor="background1"/>
      </w:rPr>
      <w:tblPr/>
      <w:tcPr>
        <w:tcBorders>
          <w:top w:color="ffffff" w:space="0" w:sz="4" w:themeColor="background1" w:val="single"/>
          <w:left w:color="ffffff" w:space="0" w:sz="4" w:themeColor="background1" w:val="single"/>
          <w:right w:color="ffffff" w:space="0" w:sz="4" w:themeColor="background1" w:val="single"/>
          <w:insideH w:space="0" w:sz="0" w:val="nil"/>
          <w:insideV w:space="0" w:sz="0" w:val="nil"/>
        </w:tcBorders>
        <w:shd w:color="auto" w:fill="00a77a" w:themeFill="accent4" w:val="clear"/>
      </w:tcPr>
    </w:tblStylePr>
    <w:tblStylePr w:type="lastRow">
      <w:rPr>
        <w:b w:val="1"/>
        <w:bCs w:val="1"/>
        <w:color w:val="ffffff" w:themeColor="background1"/>
      </w:rPr>
      <w:tblPr/>
      <w:tcPr>
        <w:tcBorders>
          <w:left w:color="ffffff" w:space="0" w:sz="4" w:themeColor="background1" w:val="single"/>
          <w:bottom w:color="ffffff" w:space="0" w:sz="4" w:themeColor="background1" w:val="single"/>
          <w:right w:color="ffffff" w:space="0" w:sz="4" w:themeColor="background1" w:val="single"/>
          <w:insideH w:space="0" w:sz="0" w:val="nil"/>
          <w:insideV w:space="0" w:sz="0" w:val="nil"/>
        </w:tcBorders>
        <w:shd w:color="auto" w:fill="00a77a" w:themeFill="accent4" w:val="clear"/>
      </w:tcPr>
    </w:tblStylePr>
    <w:tblStylePr w:type="firstCol">
      <w:rPr>
        <w:b w:val="1"/>
        <w:bCs w:val="1"/>
        <w:color w:val="ffffff" w:themeColor="background1"/>
      </w:rPr>
      <w:tblPr/>
      <w:tcPr>
        <w:tcBorders>
          <w:top w:color="ffffff" w:space="0" w:sz="4" w:themeColor="background1" w:val="single"/>
          <w:left w:color="ffffff" w:space="0" w:sz="4" w:themeColor="background1" w:val="single"/>
          <w:bottom w:color="ffffff" w:space="0" w:sz="4" w:themeColor="background1" w:val="single"/>
          <w:insideV w:space="0" w:sz="0" w:val="nil"/>
        </w:tcBorders>
        <w:shd w:color="auto" w:fill="00a77a" w:themeFill="accent4" w:val="clear"/>
      </w:tcPr>
    </w:tblStylePr>
    <w:tblStylePr w:type="lastCol">
      <w:rPr>
        <w:b w:val="1"/>
        <w:bCs w:val="1"/>
        <w:color w:val="ffffff" w:themeColor="background1"/>
      </w:rPr>
      <w:tblPr/>
      <w:tcPr>
        <w:tcBorders>
          <w:top w:color="ffffff" w:space="0" w:sz="4" w:themeColor="background1" w:val="single"/>
          <w:bottom w:color="ffffff" w:space="0" w:sz="4" w:themeColor="background1" w:val="single"/>
          <w:right w:color="ffffff" w:space="0" w:sz="4" w:themeColor="background1" w:val="single"/>
          <w:insideV w:space="0" w:sz="0" w:val="nil"/>
        </w:tcBorders>
        <w:shd w:color="auto" w:fill="00a77a" w:themeFill="accent4" w:val="clear"/>
      </w:tcPr>
    </w:tblStylePr>
    <w:tblStylePr w:type="band1Vert">
      <w:tblPr/>
      <w:tcPr>
        <w:shd w:color="auto" w:fill="75ffd9" w:themeFill="accent4" w:themeFillTint="000066" w:val="clear"/>
      </w:tcPr>
    </w:tblStylePr>
    <w:tblStylePr w:type="band1Horz">
      <w:tblPr/>
      <w:tcPr>
        <w:shd w:color="auto" w:fill="75ffd9" w:themeFill="accent4" w:themeFillTint="000066" w:val="clear"/>
      </w:tcPr>
    </w:tblStylePr>
  </w:style>
  <w:style w:type="table" w:styleId="GridTable4-Accent2">
    <w:name w:val="Grid Table 4 Accent 2"/>
    <w:basedOn w:val="TableNormal"/>
    <w:uiPriority w:val="49"/>
    <w:rsid w:val="00090B06"/>
    <w:pPr>
      <w:spacing w:after="0" w:line="240" w:lineRule="auto"/>
    </w:pPr>
    <w:tblPr>
      <w:tblStyleRowBandSize w:val="1"/>
      <w:tblStyleColBandSize w:val="1"/>
      <w:tblBorders>
        <w:top w:color="3fffa2" w:space="0" w:sz="4" w:themeColor="accent2" w:themeTint="000099" w:val="single"/>
        <w:left w:color="3fffa2" w:space="0" w:sz="4" w:themeColor="accent2" w:themeTint="000099" w:val="single"/>
        <w:bottom w:color="3fffa2" w:space="0" w:sz="4" w:themeColor="accent2" w:themeTint="000099" w:val="single"/>
        <w:right w:color="3fffa2" w:space="0" w:sz="4" w:themeColor="accent2" w:themeTint="000099" w:val="single"/>
        <w:insideH w:color="3fffa2" w:space="0" w:sz="4" w:themeColor="accent2" w:themeTint="000099" w:val="single"/>
        <w:insideV w:color="3fffa2" w:space="0" w:sz="4" w:themeColor="accent2" w:themeTint="000099" w:val="single"/>
      </w:tblBorders>
    </w:tblPr>
    <w:tblStylePr w:type="firstRow">
      <w:rPr>
        <w:b w:val="1"/>
        <w:bCs w:val="1"/>
        <w:color w:val="ffffff" w:themeColor="background1"/>
      </w:rPr>
      <w:tblPr/>
      <w:tcPr>
        <w:tcBorders>
          <w:top w:color="00bf63" w:space="0" w:sz="4" w:themeColor="accent2" w:val="single"/>
          <w:left w:color="00bf63" w:space="0" w:sz="4" w:themeColor="accent2" w:val="single"/>
          <w:bottom w:color="00bf63" w:space="0" w:sz="4" w:themeColor="accent2" w:val="single"/>
          <w:right w:color="00bf63" w:space="0" w:sz="4" w:themeColor="accent2" w:val="single"/>
          <w:insideH w:space="0" w:sz="0" w:val="nil"/>
          <w:insideV w:space="0" w:sz="0" w:val="nil"/>
        </w:tcBorders>
        <w:shd w:color="auto" w:fill="00bf63" w:themeFill="accent2" w:val="clear"/>
      </w:tcPr>
    </w:tblStylePr>
    <w:tblStylePr w:type="lastRow">
      <w:rPr>
        <w:b w:val="1"/>
        <w:bCs w:val="1"/>
      </w:rPr>
      <w:tblPr/>
      <w:tcPr>
        <w:tcBorders>
          <w:top w:color="00bf63" w:space="0" w:sz="4" w:themeColor="accent2" w:val="double"/>
        </w:tcBorders>
      </w:tcPr>
    </w:tblStylePr>
    <w:tblStylePr w:type="firstCol">
      <w:rPr>
        <w:b w:val="1"/>
        <w:bCs w:val="1"/>
      </w:rPr>
    </w:tblStylePr>
    <w:tblStylePr w:type="lastCol">
      <w:rPr>
        <w:b w:val="1"/>
        <w:bCs w:val="1"/>
      </w:rPr>
    </w:tblStylePr>
    <w:tblStylePr w:type="band1Vert">
      <w:tblPr/>
      <w:tcPr>
        <w:shd w:color="auto" w:fill="bfffe0" w:themeFill="accent2" w:themeFillTint="000033" w:val="clear"/>
      </w:tcPr>
    </w:tblStylePr>
    <w:tblStylePr w:type="band1Horz">
      <w:tblPr/>
      <w:tcPr>
        <w:shd w:color="auto" w:fill="bfffe0" w:themeFill="accent2" w:themeFillTint="000033" w:val="clear"/>
      </w:tcPr>
    </w:tblStylePr>
  </w:style>
  <w:style w:type="table" w:styleId="TableGrid">
    <w:name w:val="Table Grid"/>
    <w:aliases w:val="ELIAS Style 1"/>
    <w:basedOn w:val="TableNormal"/>
    <w:uiPriority w:val="39"/>
    <w:rsid w:val="00A7530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UnresolvedMention">
    <w:name w:val="Unresolved Mention"/>
    <w:basedOn w:val="DefaultParagraphFont"/>
    <w:uiPriority w:val="99"/>
    <w:semiHidden w:val="1"/>
    <w:unhideWhenUsed w:val="1"/>
    <w:rsid w:val="00A7530F"/>
    <w:rPr>
      <w:color w:val="605e5c"/>
      <w:shd w:color="auto" w:fill="e1dfdd" w:val="clear"/>
    </w:rPr>
  </w:style>
  <w:style w:type="paragraph" w:styleId="FootnoteText">
    <w:name w:val="footnote text"/>
    <w:basedOn w:val="Normal"/>
    <w:link w:val="FootnoteTextChar"/>
    <w:uiPriority w:val="99"/>
    <w:semiHidden w:val="1"/>
    <w:unhideWhenUsed w:val="1"/>
    <w:rsid w:val="00356134"/>
    <w:pPr>
      <w:spacing w:after="0" w:line="240" w:lineRule="auto"/>
    </w:pPr>
  </w:style>
  <w:style w:type="character" w:styleId="FootnoteTextChar" w:customStyle="1">
    <w:name w:val="Footnote Text Char"/>
    <w:basedOn w:val="DefaultParagraphFont"/>
    <w:link w:val="FootnoteText"/>
    <w:uiPriority w:val="99"/>
    <w:semiHidden w:val="1"/>
    <w:rsid w:val="00356134"/>
  </w:style>
  <w:style w:type="character" w:styleId="FootnoteReference">
    <w:name w:val="footnote reference"/>
    <w:basedOn w:val="DefaultParagraphFont"/>
    <w:uiPriority w:val="99"/>
    <w:semiHidden w:val="1"/>
    <w:unhideWhenUsed w:val="1"/>
    <w:rsid w:val="00356134"/>
    <w:rPr>
      <w:vertAlign w:val="superscript"/>
    </w:rPr>
  </w:style>
  <w:style w:type="paragraph" w:styleId="Footnote" w:customStyle="1">
    <w:name w:val="Footnote"/>
    <w:basedOn w:val="FootnoteText"/>
    <w:link w:val="FootnoteChar"/>
    <w:qFormat w:val="1"/>
    <w:rsid w:val="00356134"/>
    <w:rPr>
      <w:i w:val="1"/>
      <w:iCs w:val="1"/>
      <w:sz w:val="18"/>
      <w:szCs w:val="18"/>
    </w:rPr>
  </w:style>
  <w:style w:type="character" w:styleId="FootnoteChar" w:customStyle="1">
    <w:name w:val="Footnote Char"/>
    <w:basedOn w:val="FootnoteTextChar"/>
    <w:link w:val="Footnote"/>
    <w:rsid w:val="00356134"/>
    <w:rPr>
      <w:i w:val="1"/>
      <w:iCs w:val="1"/>
      <w:sz w:val="18"/>
      <w:szCs w:val="18"/>
    </w:rPr>
  </w:style>
  <w:style w:type="paragraph" w:styleId="Styleforcircles" w:customStyle="1">
    <w:name w:val="Style for circles"/>
    <w:basedOn w:val="Normal"/>
    <w:link w:val="StyleforcirclesChar"/>
    <w:qFormat w:val="1"/>
    <w:rsid w:val="00531AE6"/>
    <w:pPr>
      <w:jc w:val="center"/>
    </w:pPr>
    <w:rPr>
      <w:b w:val="1"/>
      <w:bCs w:val="1"/>
      <w:color w:val="ffffff" w:themeColor="background1"/>
    </w:rPr>
  </w:style>
  <w:style w:type="character" w:styleId="StyleforcirclesChar" w:customStyle="1">
    <w:name w:val="Style for circles Char"/>
    <w:basedOn w:val="DefaultParagraphFont"/>
    <w:link w:val="Styleforcircles"/>
    <w:rsid w:val="00531AE6"/>
    <w:rPr>
      <w:b w:val="1"/>
      <w:bCs w:val="1"/>
      <w:color w:val="ffffff" w:themeColor="background1"/>
    </w:rPr>
  </w:style>
  <w:style w:type="paragraph" w:styleId="Style1boxes" w:customStyle="1">
    <w:name w:val="Style1 boxes"/>
    <w:basedOn w:val="Normal"/>
    <w:link w:val="Style1boxesChar"/>
    <w:qFormat w:val="1"/>
    <w:rsid w:val="00F41A6E"/>
    <w:pPr>
      <w:spacing w:after="0" w:line="240" w:lineRule="auto"/>
      <w:jc w:val="center"/>
      <w:textDirection w:val="btLr"/>
    </w:pPr>
    <w:rPr>
      <w:color w:val="023f2e"/>
      <w:sz w:val="16"/>
    </w:rPr>
  </w:style>
  <w:style w:type="character" w:styleId="Style1boxesChar" w:customStyle="1">
    <w:name w:val="Style1 boxes Char"/>
    <w:basedOn w:val="DefaultParagraphFont"/>
    <w:link w:val="Style1boxes"/>
    <w:rsid w:val="00F41A6E"/>
    <w:rPr>
      <w:color w:val="023f2e"/>
      <w:sz w:val="16"/>
    </w:rPr>
  </w:style>
  <w:style w:type="paragraph" w:styleId="Revision">
    <w:name w:val="Revision"/>
    <w:hidden w:val="1"/>
    <w:uiPriority w:val="99"/>
    <w:semiHidden w:val="1"/>
    <w:rsid w:val="00DF0E02"/>
    <w:pPr>
      <w:spacing w:after="0" w:line="240" w:lineRule="auto"/>
      <w:jc w:val="left"/>
    </w:pPr>
  </w:style>
  <w:style w:type="paragraph" w:styleId="CommentSubject">
    <w:name w:val="annotation subject"/>
    <w:basedOn w:val="CommentText"/>
    <w:next w:val="CommentText"/>
    <w:link w:val="CommentSubjectChar"/>
    <w:uiPriority w:val="99"/>
    <w:semiHidden w:val="1"/>
    <w:unhideWhenUsed w:val="1"/>
    <w:rsid w:val="00DF0E02"/>
    <w:rPr>
      <w:b w:val="1"/>
      <w:bCs w:val="1"/>
    </w:rPr>
  </w:style>
  <w:style w:type="character" w:styleId="CommentSubjectChar" w:customStyle="1">
    <w:name w:val="Comment Subject Char"/>
    <w:basedOn w:val="CommentTextChar"/>
    <w:link w:val="CommentSubject"/>
    <w:uiPriority w:val="99"/>
    <w:semiHidden w:val="1"/>
    <w:rsid w:val="00DF0E02"/>
    <w:rPr>
      <w:b w:val="1"/>
      <w:bCs w:val="1"/>
    </w:rPr>
  </w:style>
  <w:style w:type="character" w:styleId="PlaceholderText">
    <w:name w:val="Placeholder Text"/>
    <w:basedOn w:val="DefaultParagraphFont"/>
    <w:uiPriority w:val="99"/>
    <w:semiHidden w:val="1"/>
    <w:rsid w:val="006430BB"/>
    <w:rPr>
      <w:color w:val="666666"/>
    </w:rPr>
  </w:style>
  <w:style w:type="character" w:styleId="TitleChar" w:customStyle="1">
    <w:name w:val="Title Char"/>
    <w:basedOn w:val="DefaultParagraphFont"/>
    <w:link w:val="Title"/>
    <w:uiPriority w:val="10"/>
    <w:rsid w:val="00272BF4"/>
    <w:rPr>
      <w:b w:val="1"/>
      <w:color w:val="262626"/>
      <w:sz w:val="36"/>
      <w:szCs w:val="36"/>
    </w:rPr>
  </w:style>
  <w:style w:type="table" w:styleId="ELIASStyle2" w:customStyle="1">
    <w:name w:val="ELIAS Style  2"/>
    <w:basedOn w:val="TableNormal"/>
    <w:uiPriority w:val="99"/>
    <w:rsid w:val="00272BF4"/>
    <w:pPr>
      <w:spacing w:after="0" w:line="240" w:lineRule="auto"/>
      <w:jc w:val="left"/>
    </w:pPr>
    <w:rPr>
      <w:rFonts w:cstheme="minorBidi" w:eastAsiaTheme="minorEastAsia"/>
      <w:lang w:eastAsia="en-US"/>
    </w:rPr>
    <w:tblPr>
      <w:tblStyleRowBandSize w:val="1"/>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blStylePr w:type="firstRow">
      <w:rPr>
        <w:rFonts w:ascii="Poppins" w:hAnsi="Poppins"/>
        <w:b w:val="1"/>
        <w:sz w:val="20"/>
      </w:rPr>
      <w:tblPr/>
      <w:tcPr>
        <w:shd w:color="auto" w:fill="023f2e" w:themeFill="accent1" w:val="clear"/>
      </w:tcPr>
    </w:tblStylePr>
    <w:tblStylePr w:type="band1Horz">
      <w:tblPr/>
      <w:tcPr>
        <w:shd w:color="auto" w:fill="f2f2f2" w:val="clear"/>
      </w:tcPr>
    </w:tblStylePr>
    <w:tblStylePr w:type="band2Horz">
      <w:tblPr/>
      <w:tcPr>
        <w:tc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cBorders>
        <w:shd w:color="auto" w:fill="d9d9d9" w:val="clear"/>
      </w:tcPr>
    </w:tblStylePr>
  </w:style>
  <w:style w:type="paragraph" w:styleId="TABLEHEADERS" w:customStyle="1">
    <w:name w:val="TABLE HEADERS"/>
    <w:basedOn w:val="Normal"/>
    <w:link w:val="TABLEHEADERSChar"/>
    <w:qFormat w:val="1"/>
    <w:rsid w:val="00272BF4"/>
    <w:pPr>
      <w:spacing w:after="0" w:line="240" w:lineRule="auto"/>
      <w:jc w:val="left"/>
    </w:pPr>
    <w:rPr>
      <w:rFonts w:eastAsiaTheme="minorEastAsia"/>
      <w:b w:val="1"/>
      <w:color w:val="ffffff" w:themeColor="background1"/>
      <w:lang w:eastAsia="en-US"/>
    </w:rPr>
  </w:style>
  <w:style w:type="character" w:styleId="TABLEHEADERSChar" w:customStyle="1">
    <w:name w:val="TABLE HEADERS Char"/>
    <w:basedOn w:val="DefaultParagraphFont"/>
    <w:link w:val="TABLEHEADERS"/>
    <w:rsid w:val="00272BF4"/>
    <w:rPr>
      <w:rFonts w:eastAsiaTheme="minorEastAsia"/>
      <w:b w:val="1"/>
      <w:color w:val="ffffff" w:themeColor="background1"/>
      <w:lang w:eastAsia="en-US"/>
    </w:rPr>
  </w:style>
  <w:style w:type="table" w:styleId="ELIASStyle3" w:customStyle="1">
    <w:name w:val="ELIAS Style 3"/>
    <w:basedOn w:val="TableNormal"/>
    <w:uiPriority w:val="99"/>
    <w:rsid w:val="00272BF4"/>
    <w:pPr>
      <w:spacing w:after="0" w:line="240" w:lineRule="auto"/>
      <w:jc w:val="left"/>
    </w:pPr>
    <w:rPr>
      <w:rFonts w:cstheme="minorBidi" w:eastAsiaTheme="minorEastAsia"/>
      <w:lang w:eastAsia="en-US"/>
    </w:rPr>
    <w:tblPr>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cPr>
      <w:shd w:color="auto" w:fill="d9d9d9" w:val="clear"/>
    </w:tcPr>
    <w:tblStylePr w:type="firstRow">
      <w:rPr>
        <w:b w:val="1"/>
      </w:rPr>
      <w:tblPr/>
      <w:tcPr>
        <w:shd w:color="auto" w:fill="023f2e" w:val="clear"/>
      </w:tcPr>
    </w:tblStylePr>
    <w:tblStylePr w:type="firstCol">
      <w:rPr>
        <w:b w:val="1"/>
      </w:rPr>
      <w:tblPr/>
      <w:tcPr>
        <w:shd w:color="auto" w:fill="00bf63" w:themeFill="accent2" w:val="clear"/>
      </w:tcPr>
    </w:tblStylePr>
    <w:tblStylePr w:type="nwCell">
      <w:tblPr/>
      <w:tcPr>
        <w:tcBorders>
          <w:top w:space="0" w:sz="0" w:val="nil"/>
          <w:left w:space="0" w:sz="0" w:val="nil"/>
          <w:bottom w:space="0" w:sz="0" w:val="nil"/>
          <w:right w:space="0" w:sz="0" w:val="nil"/>
          <w:insideH w:space="0" w:sz="0" w:val="nil"/>
          <w:insideV w:space="0" w:sz="0" w:val="nil"/>
        </w:tcBorders>
        <w:shd w:color="auto" w:fill="f5f5f5" w:val="clear"/>
      </w:tcPr>
    </w:tblStylePr>
  </w:style>
  <w:style w:type="table" w:styleId="ELIASSTYLE4" w:customStyle="1">
    <w:name w:val="ELIAS STYLE 4"/>
    <w:basedOn w:val="TableNormal"/>
    <w:uiPriority w:val="99"/>
    <w:rsid w:val="00272BF4"/>
    <w:pPr>
      <w:spacing w:after="0" w:line="240" w:lineRule="auto"/>
      <w:jc w:val="left"/>
    </w:pPr>
    <w:rPr>
      <w:rFonts w:asciiTheme="minorHAnsi" w:cstheme="minorBidi" w:eastAsiaTheme="minorEastAsia" w:hAnsiTheme="minorHAnsi"/>
      <w:lang w:eastAsia="en-US"/>
    </w:rPr>
    <w:tblPr>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cPr>
      <w:shd w:color="auto" w:fill="d9d9d9" w:val="clear"/>
    </w:tcPr>
    <w:tblStylePr w:type="firstCol">
      <w:rPr>
        <w:rFonts w:ascii="Poppins" w:hAnsi="Poppins"/>
        <w:b w:val="1"/>
      </w:rPr>
      <w:tblPr/>
      <w:tcPr>
        <w:tc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cBorders>
        <w:shd w:color="auto" w:fill="023f2e" w:val="clear"/>
      </w:tcPr>
    </w:tblStylePr>
  </w:style>
  <w:style w:type="paragraph" w:styleId="Subtitle">
    <w:name w:val="Subtitle"/>
    <w:basedOn w:val="Normal"/>
    <w:next w:val="Normal"/>
    <w:pPr>
      <w:pBdr>
        <w:top w:color="00bf63" w:space="1" w:sz="8" w:val="single"/>
      </w:pBdr>
      <w:spacing w:after="120" w:line="240" w:lineRule="auto"/>
      <w:jc w:val="right"/>
    </w:pPr>
    <w:rPr>
      <w:b w:val="1"/>
      <w:color w:val="262626"/>
      <w:sz w:val="32"/>
      <w:szCs w:val="32"/>
    </w:rPr>
  </w:style>
  <w:style w:type="table" w:styleId="Table1">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firstCol">
      <w:rPr>
        <w:rFonts w:ascii="Poppins" w:cs="Poppins" w:eastAsia="Poppins" w:hAnsi="Poppins"/>
        <w:b w:val="1"/>
      </w:r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023f2e" w:val="clear"/>
      </w:tcPr>
    </w:tblStylePr>
  </w:style>
  <w:style w:type="table" w:styleId="Table2">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firstCol">
      <w:rPr>
        <w:rFonts w:ascii="Poppins" w:cs="Poppins" w:eastAsia="Poppins" w:hAnsi="Poppins"/>
        <w:b w:val="1"/>
      </w:r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023f2e" w:val="clear"/>
      </w:tcPr>
    </w:tblStylePr>
  </w:style>
  <w:style w:type="table" w:styleId="Table3">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band1Horz">
      <w:tcPr>
        <w:shd w:fill="f2f2f2" w:val="clear"/>
      </w:tcPr>
    </w:tblStylePr>
    <w:tblStylePr w:type="band2Horz">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d9d9d9" w:val="clear"/>
      </w:tcPr>
    </w:tblStylePr>
    <w:tblStylePr w:type="firstRow">
      <w:rPr>
        <w:rFonts w:ascii="Poppins" w:cs="Poppins" w:eastAsia="Poppins" w:hAnsi="Poppins"/>
        <w:b w:val="1"/>
        <w:sz w:val="20"/>
        <w:szCs w:val="20"/>
      </w:rPr>
      <w:tcPr>
        <w:shd w:fill="023f2e" w:val="clear"/>
      </w:tcPr>
    </w:tblStylePr>
  </w:style>
  <w:style w:type="table" w:styleId="Table4">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band1Horz">
      <w:tcPr>
        <w:shd w:fill="f2f2f2" w:val="clear"/>
      </w:tcPr>
    </w:tblStylePr>
    <w:tblStylePr w:type="band2Horz">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d9d9d9" w:val="clear"/>
      </w:tcPr>
    </w:tblStylePr>
    <w:tblStylePr w:type="firstRow">
      <w:rPr>
        <w:rFonts w:ascii="Poppins" w:cs="Poppins" w:eastAsia="Poppins" w:hAnsi="Poppins"/>
        <w:b w:val="1"/>
        <w:sz w:val="20"/>
        <w:szCs w:val="20"/>
      </w:rPr>
      <w:tcPr>
        <w:shd w:fill="023f2e" w:val="clear"/>
      </w:tcPr>
    </w:tblStylePr>
  </w:style>
  <w:style w:type="table" w:styleId="Table5">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band1Horz">
      <w:tcPr>
        <w:shd w:fill="f2f2f2" w:val="clear"/>
      </w:tcPr>
    </w:tblStylePr>
    <w:tblStylePr w:type="band2Horz">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d9d9d9" w:val="clear"/>
      </w:tcPr>
    </w:tblStylePr>
    <w:tblStylePr w:type="firstRow">
      <w:rPr>
        <w:rFonts w:ascii="Poppins" w:cs="Poppins" w:eastAsia="Poppins" w:hAnsi="Poppins"/>
        <w:b w:val="1"/>
        <w:sz w:val="20"/>
        <w:szCs w:val="20"/>
      </w:rPr>
      <w:tcPr>
        <w:shd w:fill="023f2e" w:val="clear"/>
      </w:tcPr>
    </w:tblStylePr>
  </w:style>
  <w:style w:type="table" w:styleId="Table6">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band1Horz">
      <w:tcPr>
        <w:shd w:fill="f2f2f2" w:val="clear"/>
      </w:tcPr>
    </w:tblStylePr>
    <w:tblStylePr w:type="band2Horz">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d9d9d9" w:val="clear"/>
      </w:tcPr>
    </w:tblStylePr>
    <w:tblStylePr w:type="firstRow">
      <w:rPr>
        <w:rFonts w:ascii="Poppins" w:cs="Poppins" w:eastAsia="Poppins" w:hAnsi="Poppins"/>
        <w:b w:val="1"/>
        <w:sz w:val="20"/>
        <w:szCs w:val="20"/>
      </w:rPr>
      <w:tcPr>
        <w:shd w:fill="023f2e" w:val="clear"/>
      </w:tcPr>
    </w:tblStylePr>
  </w:style>
  <w:style w:type="table" w:styleId="Table7">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firstCol">
      <w:rPr>
        <w:b w:val="1"/>
      </w:rPr>
      <w:tcPr>
        <w:shd w:fill="00bf63" w:val="clear"/>
      </w:tcPr>
    </w:tblStylePr>
    <w:tblStylePr w:type="firstRow">
      <w:rPr>
        <w:b w:val="1"/>
      </w:rPr>
      <w:tcPr>
        <w:shd w:fill="023f2e" w:val="clear"/>
      </w:tcPr>
    </w:tblStylePr>
    <w:tblStylePr w:type="nwCell">
      <w:tcPr>
        <w:tcBorders>
          <w:top w:color="000000" w:space="0" w:sz="0" w:val="nil"/>
          <w:left w:color="000000" w:space="0" w:sz="0" w:val="nil"/>
          <w:bottom w:color="000000" w:space="0" w:sz="0" w:val="nil"/>
          <w:right w:color="000000" w:space="0" w:sz="0" w:val="nil"/>
          <w:insideH w:color="000000" w:space="0" w:sz="0" w:val="nil"/>
          <w:insideV w:color="000000" w:space="0" w:sz="0" w:val="nil"/>
        </w:tcBorders>
        <w:shd w:fill="f5f5f5" w:val="clear"/>
      </w:tcPr>
    </w:tblStylePr>
  </w:style>
  <w:style w:type="table" w:styleId="Table8">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tblStylePr w:type="firstCol">
      <w:rPr>
        <w:rFonts w:ascii="Poppins" w:cs="Poppins" w:eastAsia="Poppins" w:hAnsi="Poppins"/>
        <w:b w:val="1"/>
      </w:rPr>
      <w:tcPr>
        <w:tcBorders>
          <w:top w:color="ffffff" w:space="0" w:sz="4" w:val="single"/>
          <w:left w:color="ffffff" w:space="0" w:sz="4" w:val="single"/>
          <w:bottom w:color="ffffff" w:space="0" w:sz="4" w:val="single"/>
          <w:right w:color="ffffff" w:space="0" w:sz="4" w:val="single"/>
          <w:insideH w:color="ffffff" w:space="0" w:sz="4" w:val="single"/>
          <w:insideV w:color="ffffff" w:space="0" w:sz="4" w:val="single"/>
        </w:tcBorders>
        <w:shd w:fill="023f2e" w:val="clear"/>
      </w:tcPr>
    </w:tblStylePr>
  </w:style>
  <w:style w:type="table" w:styleId="Table9">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style>
  <w:style w:type="paragraph" w:styleId="Subtitle">
    <w:name w:val="Subtitle"/>
    <w:basedOn w:val="Normal"/>
    <w:next w:val="Normal"/>
    <w:pPr>
      <w:pBdr>
        <w:top w:color="00bf63" w:space="1" w:sz="8" w:val="single"/>
      </w:pBdr>
      <w:spacing w:after="120" w:line="240" w:lineRule="auto"/>
      <w:jc w:val="right"/>
    </w:pPr>
    <w:rPr>
      <w:b w:val="1"/>
      <w:color w:val="262626"/>
      <w:sz w:val="32"/>
      <w:szCs w:val="32"/>
    </w:rPr>
  </w:style>
  <w:style w:type="table" w:styleId="Table1">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2">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3">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4">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5">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6">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7">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8">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9">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0">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1">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2">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3">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4">
    <w:basedOn w:val="TableNormal"/>
    <w:tblPr>
      <w:tblStyleRowBandSize w:val="1"/>
      <w:tblStyleColBandSize w:val="1"/>
      <w:tblCellMar>
        <w:top w:w="0.0" w:type="dxa"/>
        <w:left w:w="115.0" w:type="dxa"/>
        <w:bottom w:w="0.0" w:type="dxa"/>
        <w:right w:w="115.0" w:type="dxa"/>
      </w:tblCellMar>
    </w:tblPr>
    <w:tcPr>
      <w:shd w:fill="auto" w:val="clear"/>
    </w:tc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1"/>
        <w:i w:val="0"/>
        <w:sz w:val="22"/>
        <w:szCs w:val="22"/>
      </w:rPr>
      <w:tcPr>
        <w:shd w:fill="c8d8eb" w:val="clear"/>
      </w:tc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5">
    <w:basedOn w:val="TableNormal"/>
    <w:pPr>
      <w:spacing w:after="0" w:line="240" w:lineRule="auto"/>
      <w:jc w:val="left"/>
    </w:pPr>
    <w:rPr>
      <w:rFonts w:ascii="Poppins" w:cs="Poppins" w:eastAsia="Poppins" w:hAnsi="Poppins"/>
    </w:rPr>
    <w:tblPr>
      <w:tblStyleRowBandSize w:val="1"/>
      <w:tblStyleColBandSize w:val="1"/>
      <w:tblCellMar>
        <w:top w:w="0.0" w:type="dxa"/>
        <w:left w:w="115.0" w:type="dxa"/>
        <w:bottom w:w="0.0" w:type="dxa"/>
        <w:right w:w="115.0" w:type="dxa"/>
      </w:tblCellMar>
    </w:tblPr>
    <w:tcPr>
      <w:shd w:fill="d9d9d9" w:val="clear"/>
    </w:tc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2.xml"/><Relationship Id="rId13" Type="http://schemas.openxmlformats.org/officeDocument/2006/relationships/footer" Target="footer2.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11" Type="http://schemas.openxmlformats.org/officeDocument/2006/relationships/font" Target="fonts/PoppinsMedium-italic.ttf"/><Relationship Id="rId10" Type="http://schemas.openxmlformats.org/officeDocument/2006/relationships/font" Target="fonts/PoppinsMedium-bold.ttf"/><Relationship Id="rId12" Type="http://schemas.openxmlformats.org/officeDocument/2006/relationships/font" Target="fonts/PoppinsMedium-boldItalic.ttf"/><Relationship Id="rId9" Type="http://schemas.openxmlformats.org/officeDocument/2006/relationships/font" Target="fonts/PoppinsMedium-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5.png"/></Relationships>
</file>

<file path=word/theme/theme1.xml><?xml version="1.0" encoding="utf-8"?>
<a:theme xmlns:a="http://schemas.openxmlformats.org/drawingml/2006/main" name="Office Theme">
  <a:themeElements>
    <a:clrScheme name="ELIAS CoLour Palette">
      <a:dk1>
        <a:sysClr val="windowText" lastClr="000000"/>
      </a:dk1>
      <a:lt1>
        <a:sysClr val="window" lastClr="FFFFFF"/>
      </a:lt1>
      <a:dk2>
        <a:srgbClr val="3F3F3F"/>
      </a:dk2>
      <a:lt2>
        <a:srgbClr val="E7E6E6"/>
      </a:lt2>
      <a:accent1>
        <a:srgbClr val="023F2E"/>
      </a:accent1>
      <a:accent2>
        <a:srgbClr val="00BF63"/>
      </a:accent2>
      <a:accent3>
        <a:srgbClr val="8DC63F"/>
      </a:accent3>
      <a:accent4>
        <a:srgbClr val="00A77A"/>
      </a:accent4>
      <a:accent5>
        <a:srgbClr val="034B92"/>
      </a:accent5>
      <a:accent6>
        <a:srgbClr val="00BF63"/>
      </a:accent6>
      <a:hlink>
        <a:srgbClr val="034B92"/>
      </a:hlink>
      <a:folHlink>
        <a:srgbClr val="0070C0"/>
      </a:folHlink>
    </a:clrScheme>
    <a:fontScheme name="ELIAS">
      <a:majorFont>
        <a:latin typeface="Poppins"/>
        <a:ea typeface=""/>
        <a:cs typeface=""/>
      </a:majorFont>
      <a:minorFont>
        <a:latin typeface="Poppin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fMbjY5hO1sCDHnxkWSpeJ9aS0w==">CgMxLjAyDWguNGFuZjU3bXoyN2cyDmguOG5ubG5sNWVudDRnMg5oLmxicDVwa3huZ211azIOaC4xMzloZWpucTh6em0yCWguMWNpOTN4YjgAciExcFlVdmI4ZXA0eVRCSlMxZnByckVOZlFuR2xBYXZ3WTQ=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2024-02-01T15:18:00Z</dcterms:created>
  <dc:creator>agarayeva@fbk.eu</dc:creator>
</cp:coreProperties>
</file>